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9F" w:rsidRPr="002C3B5F" w:rsidRDefault="007A7A9F" w:rsidP="007A7A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</w:p>
    <w:p w:rsidR="007A7A9F" w:rsidRPr="002C3B5F" w:rsidRDefault="007A7A9F" w:rsidP="007A7A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b/>
          <w:sz w:val="28"/>
          <w:szCs w:val="28"/>
          <w:lang w:val="uk-UA"/>
        </w:rPr>
        <w:t>регуляторного впливу проекту рішення «Про встановлення розміру ставок туристичного збору на території Наталинської сільської ради на 2020 рік»</w:t>
      </w:r>
    </w:p>
    <w:p w:rsidR="007A7A9F" w:rsidRPr="002C3B5F" w:rsidRDefault="007A7A9F" w:rsidP="002A0A9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sz w:val="28"/>
          <w:szCs w:val="28"/>
          <w:lang w:val="uk-UA"/>
        </w:rPr>
        <w:t xml:space="preserve">Цей аналіз регуляторного впливу (надалі – Аналіз) розроблений на виконання та з дотриманням вимог Закону України «Про засади державної регуляторної політики у сфері господарської діяльності» та </w:t>
      </w:r>
      <w:r w:rsidR="00350763" w:rsidRPr="002C3B5F">
        <w:rPr>
          <w:rFonts w:ascii="Times New Roman" w:hAnsi="Times New Roman" w:cs="Times New Roman"/>
          <w:sz w:val="28"/>
          <w:szCs w:val="28"/>
          <w:lang w:val="uk-UA"/>
        </w:rPr>
        <w:t>Методики проведення аналізу впливу та відстеження результативності впливу регуляторного акта</w:t>
      </w:r>
      <w:r w:rsidRPr="002C3B5F">
        <w:rPr>
          <w:rFonts w:ascii="Times New Roman" w:hAnsi="Times New Roman" w:cs="Times New Roman"/>
          <w:sz w:val="28"/>
          <w:szCs w:val="28"/>
          <w:lang w:val="uk-UA"/>
        </w:rPr>
        <w:t>, затвердженої постановою Кабінету Міністрів України від 11.03.2014 №308 «Про затвердження методик проведення аналізу впливу та відстеження результативності регуляторного акта» зі змінами, внесеними постановою Кабінету Міністрів України від 16.12.2015 №1151 та визначає правові та організаційні засади реалізації проекту рішення Наталинської сільської ради «Про встановлення проекту туристичного збору на 2020 рік на території Наталинської сільської ради».</w:t>
      </w:r>
    </w:p>
    <w:p w:rsidR="009C0856" w:rsidRPr="002C3B5F" w:rsidRDefault="00350763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7A7A9F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 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Визначення проблеми</w:t>
      </w:r>
    </w:p>
    <w:p w:rsidR="009C0856" w:rsidRPr="002C3B5F" w:rsidRDefault="009C0856" w:rsidP="003507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Джерелами надходження коштів до місцевого бюджету, є податки та збори, які сплачуються суб’єктами господарської діяльності, зареєстрованими на території  </w:t>
      </w:r>
      <w:r w:rsidR="007A7A9F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Наталинської сільської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ради, відповідно до Податкового кодексу України (ПКУ), та розміри ставок яких встановлюються місцевими радами.</w:t>
      </w:r>
    </w:p>
    <w:p w:rsidR="009C0856" w:rsidRPr="002C3B5F" w:rsidRDefault="009C0856" w:rsidP="003507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статті 10 ПКУ місцеві ради обов’язково встановлюють розмір ставки туристичного збору.</w:t>
      </w:r>
    </w:p>
    <w:p w:rsidR="009C0856" w:rsidRPr="002C3B5F" w:rsidRDefault="009C0856" w:rsidP="003507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Пунктом 24 частини 1 статті 26 Закону України </w:t>
      </w: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</w:t>
      </w: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 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задекларовано, що встановлення  розмірів ставок місцевих податків і зборів у межах, визначених законом, відноситься до виключної компетенції органів місцевого самоврядування. Одним із місцевих зборів є туристичний збір. Платниками збору є громадяни України, іноземці, а також особи без громадянства, які прибувають на територію адміністративно-територіальної одиниці, на якій діє рішення </w:t>
      </w:r>
      <w:r w:rsidR="00C01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про встановлення туристичного збору, та отримують (споживають) послуги з тимчасового проживання (ночівлі) із зобов’язанням залишити місце перебування в зазначений строк</w:t>
      </w:r>
      <w:r w:rsidR="00C01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C0856" w:rsidRPr="002C3B5F" w:rsidRDefault="009C0856" w:rsidP="003507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вимоги статті 12.3.4. Податкового кодексу рішення про встановлення місцевих податків та зборів офіційно оприлюднюється відповідним органом місцевого самоврядування до 15 липня року, що передує бюджетному періоду, в якому планується застосовування встановлюваних місцевих податків та зборів або змін (плановий період). Тобто для встановлення місцевого туристичного збору, з урахуванням змін ст.268 Податкового Кодексу, з 20</w:t>
      </w:r>
      <w:r w:rsidR="007A7A9F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 необхідно проведення регуляторної процедури.</w:t>
      </w:r>
    </w:p>
    <w:p w:rsidR="00350763" w:rsidRPr="002C3B5F" w:rsidRDefault="00350763" w:rsidP="003507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0763" w:rsidRPr="002C3B5F" w:rsidRDefault="00350763" w:rsidP="003507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39"/>
        <w:gridCol w:w="2697"/>
        <w:gridCol w:w="2409"/>
      </w:tblGrid>
      <w:tr w:rsidR="009C0856" w:rsidRPr="002C3B5F" w:rsidTr="00350763">
        <w:tc>
          <w:tcPr>
            <w:tcW w:w="2268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>Групи (підгрупи)</w:t>
            </w:r>
          </w:p>
        </w:tc>
        <w:tc>
          <w:tcPr>
            <w:tcW w:w="1443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Так</w:t>
            </w:r>
          </w:p>
        </w:tc>
        <w:tc>
          <w:tcPr>
            <w:tcW w:w="1289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Ні</w:t>
            </w:r>
          </w:p>
        </w:tc>
      </w:tr>
      <w:tr w:rsidR="009C0856" w:rsidRPr="002C3B5F" w:rsidTr="00350763">
        <w:tc>
          <w:tcPr>
            <w:tcW w:w="2268" w:type="pct"/>
            <w:hideMark/>
          </w:tcPr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Громадяни</w:t>
            </w:r>
          </w:p>
        </w:tc>
        <w:tc>
          <w:tcPr>
            <w:tcW w:w="1443" w:type="pct"/>
            <w:hideMark/>
          </w:tcPr>
          <w:p w:rsidR="009C0856" w:rsidRPr="002C3B5F" w:rsidRDefault="007A7A9F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289" w:type="pct"/>
            <w:hideMark/>
          </w:tcPr>
          <w:p w:rsidR="009C0856" w:rsidRPr="002C3B5F" w:rsidRDefault="007A7A9F" w:rsidP="007A7A9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9C0856" w:rsidRPr="002C3B5F" w:rsidTr="00350763">
        <w:tc>
          <w:tcPr>
            <w:tcW w:w="2268" w:type="pct"/>
            <w:hideMark/>
          </w:tcPr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Суб'єкти господарювання,</w:t>
            </w:r>
          </w:p>
        </w:tc>
        <w:tc>
          <w:tcPr>
            <w:tcW w:w="1443" w:type="pct"/>
            <w:hideMark/>
          </w:tcPr>
          <w:p w:rsidR="009C0856" w:rsidRPr="002C3B5F" w:rsidRDefault="007A7A9F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289" w:type="pct"/>
            <w:hideMark/>
          </w:tcPr>
          <w:p w:rsidR="009C0856" w:rsidRPr="002C3B5F" w:rsidRDefault="007A7A9F" w:rsidP="007A7A9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9C0856" w:rsidRPr="002C3B5F" w:rsidTr="00350763">
        <w:tc>
          <w:tcPr>
            <w:tcW w:w="2268" w:type="pct"/>
            <w:hideMark/>
          </w:tcPr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тому числі суб'єкти малого підприємництва*</w:t>
            </w:r>
          </w:p>
        </w:tc>
        <w:tc>
          <w:tcPr>
            <w:tcW w:w="1443" w:type="pct"/>
            <w:hideMark/>
          </w:tcPr>
          <w:p w:rsidR="009C0856" w:rsidRPr="002C3B5F" w:rsidRDefault="007A7A9F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289" w:type="pct"/>
            <w:hideMark/>
          </w:tcPr>
          <w:p w:rsidR="009C0856" w:rsidRPr="002C3B5F" w:rsidRDefault="007A7A9F" w:rsidP="007A7A9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350763" w:rsidRPr="002C3B5F" w:rsidRDefault="00350763" w:rsidP="007A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C0856" w:rsidRPr="002C3B5F" w:rsidRDefault="009C0856" w:rsidP="007A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Відповідно до чинного законодавства повноваження щодо встановлення місцевих податків і зборів є виключною компетенцією органів місцевого самоврядування. Застосування регуляторної процедури не має альтернативи, проблема встановлення туристичного збору не може бути розв’язана за допомогою ринкових механізмів.</w:t>
      </w:r>
    </w:p>
    <w:p w:rsidR="007A7A9F" w:rsidRPr="002C3B5F" w:rsidRDefault="007A7A9F" w:rsidP="007A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0856" w:rsidRPr="002C3B5F" w:rsidRDefault="00350763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7A7A9F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    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Цілі державного регулювання</w:t>
      </w:r>
    </w:p>
    <w:p w:rsidR="00160864" w:rsidRPr="002C3B5F" w:rsidRDefault="00160864" w:rsidP="00160864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sz w:val="28"/>
          <w:szCs w:val="28"/>
          <w:lang w:val="uk-UA"/>
        </w:rPr>
        <w:t>Основними цілями прийняття пропонованого регуляторного акту є:</w:t>
      </w:r>
    </w:p>
    <w:p w:rsidR="009C0856" w:rsidRPr="002C3B5F" w:rsidRDefault="00350763" w:rsidP="0035076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</w:t>
      </w:r>
      <w:r w:rsidR="009C0856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дотримання вимог Податкового кодексу України</w:t>
      </w:r>
      <w:r w:rsidR="005366FD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C0856" w:rsidRPr="002C3B5F" w:rsidRDefault="007A7A9F" w:rsidP="0035076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  </w:t>
      </w:r>
      <w:r w:rsidR="009C0856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встановлення в </w:t>
      </w:r>
      <w:r w:rsidR="00160864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сільській раді</w:t>
      </w:r>
      <w:r w:rsidR="009C0856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ставок туристичного збору в межах, виз</w:t>
      </w:r>
      <w:r w:rsidR="009C0856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начених Податковим кодексом України, граничних розмірів ставок;</w:t>
      </w:r>
    </w:p>
    <w:p w:rsidR="009C0856" w:rsidRPr="002C3B5F" w:rsidRDefault="00350763" w:rsidP="0035076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</w:t>
      </w:r>
      <w:r w:rsidR="009C0856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наповнення дохідної частини </w:t>
      </w:r>
      <w:r w:rsidR="00BB44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сільського</w:t>
      </w:r>
      <w:r w:rsidR="009C0856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бюджету</w:t>
      </w:r>
      <w:r w:rsidR="005366FD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C0856" w:rsidRPr="002C3B5F" w:rsidRDefault="009C0856" w:rsidP="00536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350763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Визначення та оцінка альтернативних способів досягнення цілей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350763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9C0856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Визначення альтернативних способів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33"/>
        <w:gridCol w:w="5912"/>
      </w:tblGrid>
      <w:tr w:rsidR="009C0856" w:rsidRPr="002C3B5F" w:rsidTr="00350763">
        <w:tc>
          <w:tcPr>
            <w:tcW w:w="18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1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9C0856" w:rsidRPr="002C3B5F" w:rsidTr="00350763">
        <w:tc>
          <w:tcPr>
            <w:tcW w:w="18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прийняття регуляторного акта (залишення існуючої на даний момент ситуації без змін)</w:t>
            </w:r>
          </w:p>
        </w:tc>
        <w:tc>
          <w:tcPr>
            <w:tcW w:w="3100" w:type="pct"/>
            <w:hideMark/>
          </w:tcPr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Ця альтернатива не може бути прийнятою для органів місцевого самоврядування, оскільки буде не дотримана вимога до п.12.4.1. ст.12 Податкового кодексу України.</w:t>
            </w:r>
          </w:p>
        </w:tc>
      </w:tr>
      <w:tr w:rsidR="009C0856" w:rsidRPr="002C3B5F" w:rsidTr="00350763">
        <w:tc>
          <w:tcPr>
            <w:tcW w:w="18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Прийняття регуляторного акта відповідно до вимог Податкового кодексу України</w:t>
            </w:r>
          </w:p>
        </w:tc>
        <w:tc>
          <w:tcPr>
            <w:tcW w:w="3100" w:type="pct"/>
            <w:hideMark/>
          </w:tcPr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Дотримання вимог податкового законодавства.</w:t>
            </w:r>
          </w:p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досягнення цілей державного регулювання.</w:t>
            </w:r>
          </w:p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Врегулювання правовідносин суб’єкта господарювання і контролюючих органів у процесі справляння збору.</w:t>
            </w:r>
          </w:p>
        </w:tc>
      </w:tr>
    </w:tbl>
    <w:p w:rsidR="00160864" w:rsidRPr="002C3B5F" w:rsidRDefault="00160864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0856" w:rsidRPr="002C3B5F" w:rsidRDefault="00350763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</w:t>
      </w:r>
      <w:r w:rsidR="009C0856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Оцінка вибраних альтернативних способів досягнення цілей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Опис </w:t>
      </w:r>
      <w:proofErr w:type="spellStart"/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вигод</w:t>
      </w:r>
      <w:proofErr w:type="spellEnd"/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витрат за кожною альтернативою для сфер інтересів держави, громадян та суб'єктів господарювання.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Style w:val="a8"/>
        <w:tblW w:w="5312" w:type="pct"/>
        <w:tblLook w:val="04A0" w:firstRow="1" w:lastRow="0" w:firstColumn="1" w:lastColumn="0" w:noHBand="0" w:noVBand="1"/>
      </w:tblPr>
      <w:tblGrid>
        <w:gridCol w:w="3539"/>
        <w:gridCol w:w="3403"/>
        <w:gridCol w:w="2986"/>
      </w:tblGrid>
      <w:tr w:rsidR="009C0856" w:rsidRPr="002C3B5F" w:rsidTr="006E45D2">
        <w:tc>
          <w:tcPr>
            <w:tcW w:w="1782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1714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1505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9C0856" w:rsidRPr="002C3B5F" w:rsidTr="006E45D2">
        <w:tc>
          <w:tcPr>
            <w:tcW w:w="1782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прийняття регуляторного акта (залишення існуючої на даний момент ситуації без змін)</w:t>
            </w:r>
          </w:p>
          <w:p w:rsidR="006E45D2" w:rsidRPr="002C3B5F" w:rsidRDefault="006E45D2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4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1505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9C0856" w:rsidRPr="002C3B5F" w:rsidTr="006E45D2">
        <w:tc>
          <w:tcPr>
            <w:tcW w:w="1782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Прийняття регуляторного акта відповідно до вимог Податкового кодексу України</w:t>
            </w:r>
          </w:p>
        </w:tc>
        <w:tc>
          <w:tcPr>
            <w:tcW w:w="1714" w:type="pct"/>
            <w:hideMark/>
          </w:tcPr>
          <w:p w:rsidR="009C0856" w:rsidRPr="002C3B5F" w:rsidRDefault="009C0856" w:rsidP="006E45D2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Дотримання вимог </w:t>
            </w:r>
            <w:proofErr w:type="spellStart"/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</w:t>
            </w:r>
            <w:r w:rsidR="006E45D2"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кового</w:t>
            </w:r>
            <w:proofErr w:type="spellEnd"/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законодавства.</w:t>
            </w:r>
          </w:p>
          <w:p w:rsidR="009C0856" w:rsidRPr="002C3B5F" w:rsidRDefault="009C0856" w:rsidP="006E45D2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досягнення цілей державного регулювання.</w:t>
            </w:r>
          </w:p>
          <w:p w:rsidR="009C0856" w:rsidRPr="002C3B5F" w:rsidRDefault="009C0856" w:rsidP="006E45D2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Врегулювання правовідносин суб’єкта господарювання і контролюючих органів у процесі справляння збору.</w:t>
            </w:r>
          </w:p>
        </w:tc>
        <w:tc>
          <w:tcPr>
            <w:tcW w:w="1505" w:type="pct"/>
            <w:hideMark/>
          </w:tcPr>
          <w:p w:rsidR="006E45D2" w:rsidRPr="002C3B5F" w:rsidRDefault="006E45D2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45D2" w:rsidRPr="002C3B5F" w:rsidRDefault="006E45D2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Відсутні</w:t>
            </w:r>
          </w:p>
        </w:tc>
      </w:tr>
    </w:tbl>
    <w:p w:rsidR="006E45D2" w:rsidRPr="002C3B5F" w:rsidRDefault="006E45D2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C0856" w:rsidRPr="002C3B5F" w:rsidRDefault="009C0856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Оцінка впливу на сферу інтересів громадян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79"/>
        <w:gridCol w:w="3179"/>
        <w:gridCol w:w="2987"/>
      </w:tblGrid>
      <w:tr w:rsidR="009C0856" w:rsidRPr="002C3B5F" w:rsidTr="006E45D2">
        <w:tc>
          <w:tcPr>
            <w:tcW w:w="16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16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15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9C0856" w:rsidRPr="002C3B5F" w:rsidTr="006E45D2">
        <w:tc>
          <w:tcPr>
            <w:tcW w:w="16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прийняття регуляторного акта (залишення існуючої на даний момент ситуації без змін)</w:t>
            </w:r>
          </w:p>
        </w:tc>
        <w:tc>
          <w:tcPr>
            <w:tcW w:w="165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155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Відсутні.</w:t>
            </w:r>
          </w:p>
        </w:tc>
      </w:tr>
      <w:tr w:rsidR="009C0856" w:rsidRPr="002C3B5F" w:rsidTr="006E45D2">
        <w:tc>
          <w:tcPr>
            <w:tcW w:w="16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Прийняття регуляторного акта відповідно до вимог Податкового кодексу України</w:t>
            </w:r>
          </w:p>
        </w:tc>
        <w:tc>
          <w:tcPr>
            <w:tcW w:w="1650" w:type="pct"/>
            <w:hideMark/>
          </w:tcPr>
          <w:p w:rsidR="00C87323" w:rsidRPr="002C3B5F" w:rsidRDefault="00C87323" w:rsidP="006E45D2">
            <w:pPr>
              <w:jc w:val="both"/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Виділення коштів з </w:t>
            </w:r>
            <w:r w:rsidR="00070C97">
              <w:rPr>
                <w:rFonts w:ascii="Times New Roman" w:hAnsi="Times New Roman"/>
                <w:sz w:val="24"/>
                <w:szCs w:val="24"/>
                <w:lang w:val="uk-UA"/>
              </w:rPr>
              <w:t>сільського</w:t>
            </w:r>
            <w:r w:rsidRPr="002C3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на програми соціально-економічного розвитку </w:t>
            </w:r>
            <w:r w:rsidR="00070C97">
              <w:rPr>
                <w:rFonts w:ascii="Times New Roman" w:hAnsi="Times New Roman"/>
                <w:sz w:val="24"/>
                <w:szCs w:val="24"/>
                <w:lang w:val="uk-UA"/>
              </w:rPr>
              <w:t>сіл</w:t>
            </w:r>
          </w:p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hideMark/>
          </w:tcPr>
          <w:p w:rsidR="009C0856" w:rsidRPr="002C3B5F" w:rsidRDefault="009C0856" w:rsidP="00F931CD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Особи, які будуть отримувати послуги з тимчасового проживання на території </w:t>
            </w:r>
            <w:r w:rsidR="00160864"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сільської ради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F9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будуть сплачувати туристичний збір у розмірі передбаченим нормативно-правовим актом </w:t>
            </w:r>
          </w:p>
        </w:tc>
      </w:tr>
    </w:tbl>
    <w:p w:rsidR="00160864" w:rsidRPr="002C3B5F" w:rsidRDefault="00160864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C0856" w:rsidRPr="002C3B5F" w:rsidRDefault="009C0856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Оцінка впливу на сферу інтересів суб'єктів господарювання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36"/>
        <w:gridCol w:w="1402"/>
        <w:gridCol w:w="1495"/>
        <w:gridCol w:w="1402"/>
        <w:gridCol w:w="1402"/>
        <w:gridCol w:w="1308"/>
      </w:tblGrid>
      <w:tr w:rsidR="009C0856" w:rsidRPr="002C3B5F" w:rsidTr="006E45D2">
        <w:tc>
          <w:tcPr>
            <w:tcW w:w="12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Показник</w:t>
            </w:r>
          </w:p>
        </w:tc>
        <w:tc>
          <w:tcPr>
            <w:tcW w:w="7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Великі</w:t>
            </w:r>
          </w:p>
        </w:tc>
        <w:tc>
          <w:tcPr>
            <w:tcW w:w="8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Середні</w:t>
            </w:r>
          </w:p>
        </w:tc>
        <w:tc>
          <w:tcPr>
            <w:tcW w:w="7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Малі</w:t>
            </w:r>
          </w:p>
        </w:tc>
        <w:tc>
          <w:tcPr>
            <w:tcW w:w="7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Мікро</w:t>
            </w:r>
          </w:p>
        </w:tc>
        <w:tc>
          <w:tcPr>
            <w:tcW w:w="7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9C0856" w:rsidRPr="002C3B5F" w:rsidTr="006E45D2">
        <w:tc>
          <w:tcPr>
            <w:tcW w:w="12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75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5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5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C87323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9C0856" w:rsidRPr="002C3B5F" w:rsidTr="006E45D2">
        <w:tc>
          <w:tcPr>
            <w:tcW w:w="12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Питома вага групи у загальній кількості, відсотків</w:t>
            </w:r>
          </w:p>
        </w:tc>
        <w:tc>
          <w:tcPr>
            <w:tcW w:w="75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5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5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C87323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00" w:type="pct"/>
            <w:hideMark/>
          </w:tcPr>
          <w:p w:rsidR="006E45D2" w:rsidRPr="002C3B5F" w:rsidRDefault="006E45D2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6E45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80"/>
        <w:gridCol w:w="3083"/>
        <w:gridCol w:w="3082"/>
      </w:tblGrid>
      <w:tr w:rsidR="009C0856" w:rsidRPr="002C3B5F" w:rsidTr="006E45D2">
        <w:tc>
          <w:tcPr>
            <w:tcW w:w="16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16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16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9C0856" w:rsidRPr="002C3B5F" w:rsidTr="006E45D2">
        <w:tc>
          <w:tcPr>
            <w:tcW w:w="16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прийняття регуляторного акта (залишення існуючої на даний момент ситуації без змін)</w:t>
            </w:r>
          </w:p>
        </w:tc>
        <w:tc>
          <w:tcPr>
            <w:tcW w:w="1600" w:type="pct"/>
            <w:hideMark/>
          </w:tcPr>
          <w:p w:rsidR="009C0856" w:rsidRPr="002C3B5F" w:rsidRDefault="009C0856" w:rsidP="006E45D2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Звітність по нарахуванню та сплаті туристичного збору не подається до контролюючого органу.</w:t>
            </w:r>
          </w:p>
        </w:tc>
        <w:tc>
          <w:tcPr>
            <w:tcW w:w="1600" w:type="pct"/>
            <w:hideMark/>
          </w:tcPr>
          <w:p w:rsidR="006E45D2" w:rsidRPr="002C3B5F" w:rsidRDefault="006E45D2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Відсутні.</w:t>
            </w:r>
          </w:p>
        </w:tc>
      </w:tr>
      <w:tr w:rsidR="009C0856" w:rsidRPr="002C3B5F" w:rsidTr="006E45D2">
        <w:tc>
          <w:tcPr>
            <w:tcW w:w="1650" w:type="pct"/>
            <w:hideMark/>
          </w:tcPr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Прийняття регуляторного акта відповідно до вимог Податкового кодексу України</w:t>
            </w:r>
          </w:p>
        </w:tc>
        <w:tc>
          <w:tcPr>
            <w:tcW w:w="1600" w:type="pct"/>
            <w:hideMark/>
          </w:tcPr>
          <w:p w:rsidR="009C0856" w:rsidRPr="002C3B5F" w:rsidRDefault="009C0856" w:rsidP="006E45D2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прозорого механізму врегулювання ставки туристичного збору в рамках вимог Податкового кодексу України</w:t>
            </w:r>
          </w:p>
        </w:tc>
        <w:tc>
          <w:tcPr>
            <w:tcW w:w="1600" w:type="pct"/>
            <w:hideMark/>
          </w:tcPr>
          <w:p w:rsidR="006E45D2" w:rsidRPr="002C3B5F" w:rsidRDefault="006E45D2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Відсутні</w:t>
            </w:r>
          </w:p>
        </w:tc>
      </w:tr>
    </w:tbl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C76F28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4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Вибір найбільш оптимального альтернативного способу досягнення цілей</w:t>
      </w:r>
    </w:p>
    <w:tbl>
      <w:tblPr>
        <w:tblStyle w:val="a8"/>
        <w:tblW w:w="5050" w:type="pct"/>
        <w:tblLook w:val="04A0" w:firstRow="1" w:lastRow="0" w:firstColumn="1" w:lastColumn="0" w:noHBand="0" w:noVBand="1"/>
      </w:tblPr>
      <w:tblGrid>
        <w:gridCol w:w="3504"/>
        <w:gridCol w:w="2918"/>
        <w:gridCol w:w="3016"/>
      </w:tblGrid>
      <w:tr w:rsidR="009C0856" w:rsidRPr="002C3B5F" w:rsidTr="00C76F28">
        <w:tc>
          <w:tcPr>
            <w:tcW w:w="18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5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1550" w:type="pct"/>
            <w:hideMark/>
          </w:tcPr>
          <w:p w:rsidR="009C0856" w:rsidRPr="002C3B5F" w:rsidRDefault="009C0856" w:rsidP="00C8732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Коментарі щодо присвоєння відповідного бал</w:t>
            </w:r>
            <w:r w:rsidR="00C87323"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</w:t>
            </w:r>
          </w:p>
        </w:tc>
      </w:tr>
      <w:tr w:rsidR="009C0856" w:rsidRPr="002C3B5F" w:rsidTr="00C76F28">
        <w:trPr>
          <w:trHeight w:val="5131"/>
        </w:trPr>
        <w:tc>
          <w:tcPr>
            <w:tcW w:w="18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прийняття регуляторного акта (залишення існуючої на даний момент ситуації без змін)</w:t>
            </w:r>
          </w:p>
        </w:tc>
        <w:tc>
          <w:tcPr>
            <w:tcW w:w="15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0" w:type="pct"/>
            <w:hideMark/>
          </w:tcPr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Місцеві ради в межах повноважень, визначених цим Кодексом, вирішують питання відповідно до вимог цього Кодексу щодо встановлення туристичного збору.</w:t>
            </w:r>
          </w:p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Згідно підпункту 12.3.5 пункту 12.3 статті 12 Податкового кодексу України туристичний збір як такий, що є обов’язковим для встановлення, не буде справлятись.  </w:t>
            </w:r>
          </w:p>
        </w:tc>
      </w:tr>
      <w:tr w:rsidR="009C0856" w:rsidRPr="002C3B5F" w:rsidTr="00C76F28">
        <w:tc>
          <w:tcPr>
            <w:tcW w:w="18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Прийняття регуляторного акта відповідно до вимог Податкового кодексу України</w:t>
            </w:r>
          </w:p>
        </w:tc>
        <w:tc>
          <w:tcPr>
            <w:tcW w:w="15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0" w:type="pct"/>
            <w:hideMark/>
          </w:tcPr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Цей регуляторний акт відповідає потребам у розв’язанні визначеної проблеми та принципам державної регуляторної політики. Затвердження такого регуляторного акта забезпечить дотримання вимог податкового законодавства. Необхідність прийняття регуляторного акта зумовлена наявністю на території </w:t>
            </w:r>
            <w:r w:rsidR="00C87323"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сільської ради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двох суб’єктів господарської діяльності, котрі займаються готельним бізнесом.</w:t>
            </w:r>
          </w:p>
        </w:tc>
      </w:tr>
    </w:tbl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2587"/>
        <w:gridCol w:w="1774"/>
        <w:gridCol w:w="2721"/>
      </w:tblGrid>
      <w:tr w:rsidR="009C0856" w:rsidRPr="002C3B5F" w:rsidTr="00C76F28">
        <w:tc>
          <w:tcPr>
            <w:tcW w:w="1211" w:type="pct"/>
            <w:hideMark/>
          </w:tcPr>
          <w:p w:rsidR="00C76F28" w:rsidRPr="002C3B5F" w:rsidRDefault="00C76F28" w:rsidP="00C76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9C0856" w:rsidRPr="002C3B5F" w:rsidRDefault="009C0856" w:rsidP="00C76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1384" w:type="pct"/>
            <w:hideMark/>
          </w:tcPr>
          <w:p w:rsidR="00C76F28" w:rsidRPr="002C3B5F" w:rsidRDefault="00C76F28" w:rsidP="00C76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9C0856" w:rsidRPr="002C3B5F" w:rsidRDefault="009C0856" w:rsidP="00C76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949" w:type="pct"/>
            <w:hideMark/>
          </w:tcPr>
          <w:p w:rsidR="00C76F28" w:rsidRPr="002C3B5F" w:rsidRDefault="00C76F28" w:rsidP="00C76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9C0856" w:rsidRPr="002C3B5F" w:rsidRDefault="009C0856" w:rsidP="00C76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1456" w:type="pct"/>
            <w:hideMark/>
          </w:tcPr>
          <w:p w:rsidR="009C0856" w:rsidRPr="002C3B5F" w:rsidRDefault="009C0856" w:rsidP="00C76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9C0856" w:rsidRPr="002C3B5F" w:rsidTr="00C76F28">
        <w:tc>
          <w:tcPr>
            <w:tcW w:w="1211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Прийняття регуляторного акта 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відповідно до вимог Податкового кодексу України</w:t>
            </w:r>
          </w:p>
        </w:tc>
        <w:tc>
          <w:tcPr>
            <w:tcW w:w="1384" w:type="pct"/>
            <w:hideMark/>
          </w:tcPr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Врегулювання правовідносин 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суб’єкта господарювання і контролюючих органів у процесі справляння збору.</w:t>
            </w:r>
          </w:p>
        </w:tc>
        <w:tc>
          <w:tcPr>
            <w:tcW w:w="949" w:type="pct"/>
            <w:hideMark/>
          </w:tcPr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Нарахування та сплата 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збору, подання звітності до контролюючих органів.</w:t>
            </w:r>
          </w:p>
          <w:p w:rsidR="009C0856" w:rsidRPr="002C3B5F" w:rsidRDefault="009C0856" w:rsidP="009C0856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56" w:type="pct"/>
            <w:hideMark/>
          </w:tcPr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Цей регуляторний акт відповідає потребам у 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розв’язанні визначеної проблеми та принципам державної регуляторної політики. Затвердження такого регуляторного акта забезпечить дотримання вимог податкового законодавства.</w:t>
            </w:r>
          </w:p>
        </w:tc>
      </w:tr>
      <w:tr w:rsidR="009C0856" w:rsidRPr="002C3B5F" w:rsidTr="00C76F28">
        <w:tc>
          <w:tcPr>
            <w:tcW w:w="1211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Не прийняття регуляторного акта (залишення існуючої на даний момент ситуації без змін)</w:t>
            </w:r>
          </w:p>
        </w:tc>
        <w:tc>
          <w:tcPr>
            <w:tcW w:w="1384" w:type="pct"/>
            <w:hideMark/>
          </w:tcPr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Звітність по нарахуванню та сплаті туристичного збору не подається до контролюючого органу.</w:t>
            </w:r>
          </w:p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Особи, які будуть отримувати послуги з тимчасового проживання на території </w:t>
            </w:r>
            <w:r w:rsidR="00C87323"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сільської ради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не будуть сплачувати туристичний збір.</w:t>
            </w:r>
          </w:p>
        </w:tc>
        <w:tc>
          <w:tcPr>
            <w:tcW w:w="949" w:type="pct"/>
            <w:hideMark/>
          </w:tcPr>
          <w:p w:rsidR="009C0856" w:rsidRPr="002C3B5F" w:rsidRDefault="009C0856" w:rsidP="00B5673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Обсяг надходжень до </w:t>
            </w:r>
            <w:r w:rsidR="00B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сільського 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бюджету не зміниться, проте на території </w:t>
            </w:r>
            <w:r w:rsidR="00B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села 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наявні два суб’єкта господарської діяльності, котрі займаються готельним бізнесом.</w:t>
            </w:r>
          </w:p>
        </w:tc>
        <w:tc>
          <w:tcPr>
            <w:tcW w:w="1456" w:type="pct"/>
            <w:hideMark/>
          </w:tcPr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Дана альтернатива суперечить вимогам ПКУ</w:t>
            </w:r>
          </w:p>
        </w:tc>
      </w:tr>
    </w:tbl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17"/>
        <w:gridCol w:w="4046"/>
        <w:gridCol w:w="3082"/>
      </w:tblGrid>
      <w:tr w:rsidR="009C0856" w:rsidRPr="002C3B5F" w:rsidTr="00C76F28">
        <w:tc>
          <w:tcPr>
            <w:tcW w:w="11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21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60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9C0856" w:rsidRPr="002C3B5F" w:rsidTr="00C76F28">
        <w:tc>
          <w:tcPr>
            <w:tcW w:w="11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Прийняття регуляторного акта відповідно до вимог Податкового кодексу України</w:t>
            </w:r>
          </w:p>
        </w:tc>
        <w:tc>
          <w:tcPr>
            <w:tcW w:w="2100" w:type="pct"/>
            <w:hideMark/>
          </w:tcPr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Цей регуляторний акт відповідає потребам у розв’язанні визначеної проблеми та принципам державної регуляторної політики. </w:t>
            </w:r>
            <w:proofErr w:type="spellStart"/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Затвердже</w:t>
            </w:r>
            <w:r w:rsidR="00C76F28"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ння</w:t>
            </w:r>
            <w:proofErr w:type="spellEnd"/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такого регуляторного акта забезпечить дотримання вимог податкового законодавства.</w:t>
            </w:r>
          </w:p>
        </w:tc>
        <w:tc>
          <w:tcPr>
            <w:tcW w:w="1600" w:type="pct"/>
            <w:hideMark/>
          </w:tcPr>
          <w:p w:rsidR="009C0856" w:rsidRPr="002C3B5F" w:rsidRDefault="009C0856" w:rsidP="00C76F2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Зміни у Податковому кодексі України, </w:t>
            </w:r>
            <w:proofErr w:type="spellStart"/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змен</w:t>
            </w:r>
            <w:r w:rsidR="00C76F28"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шення</w:t>
            </w:r>
            <w:proofErr w:type="spellEnd"/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кількості платників збору. Політична та економічна ситуація в країні.</w:t>
            </w:r>
          </w:p>
        </w:tc>
      </w:tr>
      <w:tr w:rsidR="009C0856" w:rsidRPr="002C3B5F" w:rsidTr="00C76F28">
        <w:tc>
          <w:tcPr>
            <w:tcW w:w="1150" w:type="pct"/>
            <w:hideMark/>
          </w:tcPr>
          <w:p w:rsidR="009C0856" w:rsidRPr="002C3B5F" w:rsidRDefault="009C0856" w:rsidP="009C085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прийняття регуляторного акта (залишення існуючої на даний момент ситуації без змін)</w:t>
            </w:r>
          </w:p>
        </w:tc>
        <w:tc>
          <w:tcPr>
            <w:tcW w:w="2100" w:type="pct"/>
            <w:hideMark/>
          </w:tcPr>
          <w:p w:rsidR="009C0856" w:rsidRPr="002C3B5F" w:rsidRDefault="009C0856" w:rsidP="00B56738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Обсяг надходжень до </w:t>
            </w:r>
            <w:r w:rsidR="00B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сіль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ського бюджету не зміниться, проте на території </w:t>
            </w:r>
            <w:r w:rsidR="00B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села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наявні </w:t>
            </w:r>
            <w:r w:rsidR="00B5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два</w:t>
            </w: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суб’єкта господарської діяльності, котрі займаються готельним бізнесом.</w:t>
            </w:r>
          </w:p>
        </w:tc>
        <w:tc>
          <w:tcPr>
            <w:tcW w:w="1600" w:type="pct"/>
            <w:hideMark/>
          </w:tcPr>
          <w:p w:rsidR="009C0856" w:rsidRPr="002C3B5F" w:rsidRDefault="009C0856" w:rsidP="00B75F89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</w:tr>
    </w:tbl>
    <w:p w:rsidR="009C0856" w:rsidRPr="002C3B5F" w:rsidRDefault="009C0856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C76F28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Механізми та заходи, які забезпечать розв'язання визначеної проблеми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9C0856" w:rsidP="00C76F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Запропоновані механізми регуляторного акту за допомогою яких можна розв’язати проблему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 результаті визначення цілі,</w:t>
      </w:r>
      <w:r w:rsidR="00C87323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аналізу поточної ситуації на території </w:t>
      </w:r>
      <w:r w:rsidR="00C87323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Наталинської сільської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ради, аналітичних 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показників </w:t>
      </w:r>
      <w:r w:rsidR="00C87323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Красноградської ДПІ Південного управління ГУДПС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r w:rsidR="00C87323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Харківській області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основним механізмом як</w:t>
      </w:r>
      <w:r w:rsidR="00B75F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забезпечить розв’язання визначеної проблеми є встановлення запропонованих ставок туристичного збору.</w:t>
      </w:r>
    </w:p>
    <w:p w:rsidR="00E130C2" w:rsidRPr="002C3B5F" w:rsidRDefault="009C0856" w:rsidP="00C76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Заходи,</w:t>
      </w:r>
      <w:r w:rsidR="00C87323"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які мають здійснити органи влади для впровадження цього регуляторного акту. Розробка проекту рішення </w:t>
      </w:r>
      <w:r w:rsidR="00C87323"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Наталинської сільс</w:t>
      </w:r>
      <w:r w:rsidR="00E130C2"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</w:t>
      </w:r>
      <w:r w:rsidR="00C87323"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кої ради</w:t>
      </w: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130C2" w:rsidRPr="002C3B5F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розміру ставок туристичного збору на території Наталинської сільської ради на 2020 рік» </w:t>
      </w: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та АРВ до нього. </w:t>
      </w:r>
    </w:p>
    <w:p w:rsidR="00E130C2" w:rsidRPr="002C3B5F" w:rsidRDefault="009C0856" w:rsidP="00C76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Оприлюднення проекту разом з АРВ та отримання пропозицій та зауважень. </w:t>
      </w:r>
    </w:p>
    <w:p w:rsidR="00E130C2" w:rsidRPr="002C3B5F" w:rsidRDefault="009C0856" w:rsidP="00C76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Підготовка експертного висновку постійної відповідальної комісії щодо відповідності проекту рішення вимогами статей 4,</w:t>
      </w:r>
      <w:r w:rsidR="00E130C2"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8 Закону України «Про засади державної регуляторної політики у сфері господарської діяльності». </w:t>
      </w:r>
    </w:p>
    <w:p w:rsidR="00E130C2" w:rsidRPr="002C3B5F" w:rsidRDefault="009C0856" w:rsidP="00C76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Отримання пропозицій по удосконаленню від Державної регуляторної служби України. </w:t>
      </w:r>
    </w:p>
    <w:p w:rsidR="009C0856" w:rsidRPr="002C3B5F" w:rsidRDefault="009C0856" w:rsidP="00E130C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Оприлюднення рішення у встановленому законодавством порядку. Проведення заходів з відстеження результативності прийнятого рішення.</w:t>
      </w:r>
    </w:p>
    <w:p w:rsidR="00E130C2" w:rsidRPr="002C3B5F" w:rsidRDefault="00E130C2" w:rsidP="00E130C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0856" w:rsidRPr="002C3B5F" w:rsidRDefault="00B77FC9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r w:rsidR="00E130C2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B77FC9" w:rsidRPr="002C3B5F" w:rsidRDefault="00B77FC9" w:rsidP="00B77FC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sz w:val="28"/>
          <w:szCs w:val="28"/>
          <w:lang w:val="uk-UA"/>
        </w:rPr>
        <w:t>Здійснено розрахунок витрат на запровадження державного регулювання для суб’єктів малого підприємництва (додаток 1 до аналізу впливу регуляторного акта (Тест малого підприємництва).</w:t>
      </w:r>
    </w:p>
    <w:p w:rsidR="00E130C2" w:rsidRPr="002C3B5F" w:rsidRDefault="00E130C2" w:rsidP="00E130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0856" w:rsidRPr="002C3B5F" w:rsidRDefault="00B77FC9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Обґрунтування запропонованого строку дії регуляторного акта</w:t>
      </w:r>
    </w:p>
    <w:p w:rsidR="009C0856" w:rsidRPr="002C3B5F" w:rsidRDefault="009C0856" w:rsidP="00E130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дію цього регуляторного акта негативно можуть вплинути економічна криза, значні темпи інфляції, різке </w:t>
      </w:r>
      <w:r w:rsidR="005366FD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</w:t>
      </w:r>
      <w:r w:rsidR="00F57469"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тарифів на енергоносії та продукти харчування при незмінному розмірі мінімальної заробітної плати. Ці фактори впливають на рівень платоспроможності населення та призводять до закриття підприємницької діяльності.</w:t>
      </w:r>
    </w:p>
    <w:p w:rsidR="009C0856" w:rsidRPr="002C3B5F" w:rsidRDefault="00E130C2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</w:t>
      </w:r>
      <w:r w:rsidRPr="002C3B5F">
        <w:rPr>
          <w:rFonts w:ascii="Times New Roman" w:hAnsi="Times New Roman" w:cs="Times New Roman"/>
          <w:sz w:val="28"/>
          <w:szCs w:val="28"/>
          <w:lang w:val="uk-UA"/>
        </w:rPr>
        <w:t>Термін дії запропонованого регуляторного акта обмежений – один рік з моменту набрання його чинності, із можливістю внесення до нього змін та його відміни у разі зміни чинного законодавства чи в інших необхідних випадках.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B77FC9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Визначення показників результативності дії регуляторного акта</w:t>
      </w:r>
    </w:p>
    <w:p w:rsidR="00B77FC9" w:rsidRPr="002C3B5F" w:rsidRDefault="00B77FC9" w:rsidP="00B77FC9">
      <w:pPr>
        <w:pStyle w:val="a6"/>
        <w:spacing w:after="0" w:line="240" w:lineRule="auto"/>
        <w:ind w:left="0" w:firstLine="708"/>
        <w:jc w:val="both"/>
        <w:rPr>
          <w:rStyle w:val="2"/>
          <w:rFonts w:ascii="Times New Roman" w:hAnsi="Times New Roman"/>
          <w:sz w:val="28"/>
          <w:szCs w:val="28"/>
          <w:lang w:val="uk-UA"/>
        </w:rPr>
      </w:pPr>
      <w:r w:rsidRPr="002C3B5F">
        <w:rPr>
          <w:rStyle w:val="2"/>
          <w:rFonts w:ascii="Times New Roman" w:hAnsi="Times New Roman"/>
          <w:sz w:val="28"/>
          <w:szCs w:val="28"/>
          <w:lang w:val="uk-UA"/>
        </w:rPr>
        <w:t>Виходячи з цілей державного регулювання, визначених у другому розділі аналізу регуляторного впливу, для відстеження результативності цього регуляторного акта обрано такі прогнозні показники: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2272"/>
        <w:gridCol w:w="2912"/>
      </w:tblGrid>
      <w:tr w:rsidR="00B77FC9" w:rsidRPr="002C3B5F" w:rsidTr="00B77FC9">
        <w:tc>
          <w:tcPr>
            <w:tcW w:w="4161" w:type="dxa"/>
            <w:shd w:val="clear" w:color="auto" w:fill="auto"/>
            <w:vAlign w:val="center"/>
          </w:tcPr>
          <w:p w:rsidR="00B77FC9" w:rsidRPr="002C3B5F" w:rsidRDefault="00B77FC9" w:rsidP="00821105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77FC9" w:rsidRPr="002C3B5F" w:rsidRDefault="00B77FC9" w:rsidP="00821105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2019 рік 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B77FC9" w:rsidRPr="002C3B5F" w:rsidRDefault="00B77FC9" w:rsidP="00821105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b/>
                <w:sz w:val="28"/>
                <w:szCs w:val="28"/>
                <w:lang w:val="uk-UA"/>
              </w:rPr>
              <w:t>2020рік</w:t>
            </w:r>
          </w:p>
        </w:tc>
      </w:tr>
      <w:tr w:rsidR="00B77FC9" w:rsidRPr="002C3B5F" w:rsidTr="00B77FC9">
        <w:tc>
          <w:tcPr>
            <w:tcW w:w="4161" w:type="dxa"/>
            <w:shd w:val="clear" w:color="auto" w:fill="auto"/>
            <w:vAlign w:val="center"/>
          </w:tcPr>
          <w:p w:rsidR="00B77FC9" w:rsidRPr="002C3B5F" w:rsidRDefault="00B77FC9" w:rsidP="00357690">
            <w:pPr>
              <w:tabs>
                <w:tab w:val="left" w:pos="313"/>
              </w:tabs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 xml:space="preserve">Надходження до місцевого бюджету туристичного </w:t>
            </w:r>
            <w:r w:rsidR="00357690"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збору</w:t>
            </w: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 xml:space="preserve"> від  платників (грн.)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77FC9" w:rsidRPr="002C3B5F" w:rsidRDefault="00357690" w:rsidP="00821105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B77FC9" w:rsidRPr="002C3B5F" w:rsidRDefault="00357690" w:rsidP="00821105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</w:tr>
      <w:tr w:rsidR="00B77FC9" w:rsidRPr="002C3B5F" w:rsidTr="00B77FC9">
        <w:tc>
          <w:tcPr>
            <w:tcW w:w="4161" w:type="dxa"/>
            <w:shd w:val="clear" w:color="auto" w:fill="auto"/>
          </w:tcPr>
          <w:p w:rsidR="00B77FC9" w:rsidRPr="002C3B5F" w:rsidRDefault="00B77FC9" w:rsidP="00357690">
            <w:pPr>
              <w:pStyle w:val="a9"/>
              <w:spacing w:after="0"/>
              <w:ind w:left="0"/>
              <w:jc w:val="both"/>
              <w:rPr>
                <w:lang w:val="uk-UA" w:eastAsia="ru-RU"/>
              </w:rPr>
            </w:pPr>
            <w:r w:rsidRPr="002C3B5F">
              <w:rPr>
                <w:lang w:val="uk-UA" w:eastAsia="ru-RU"/>
              </w:rPr>
              <w:lastRenderedPageBreak/>
              <w:t xml:space="preserve">Загальна кількість платників </w:t>
            </w:r>
            <w:r w:rsidR="00357690" w:rsidRPr="002C3B5F">
              <w:rPr>
                <w:lang w:val="uk-UA" w:eastAsia="ru-RU"/>
              </w:rPr>
              <w:t>туристичного збору</w:t>
            </w:r>
            <w:r w:rsidRPr="002C3B5F">
              <w:rPr>
                <w:lang w:val="uk-UA" w:eastAsia="ru-RU"/>
              </w:rPr>
              <w:t xml:space="preserve">, </w:t>
            </w:r>
            <w:proofErr w:type="spellStart"/>
            <w:r w:rsidRPr="002C3B5F">
              <w:rPr>
                <w:lang w:val="uk-UA" w:eastAsia="ru-RU"/>
              </w:rPr>
              <w:t>чол</w:t>
            </w:r>
            <w:proofErr w:type="spellEnd"/>
            <w:r w:rsidRPr="002C3B5F">
              <w:rPr>
                <w:lang w:val="uk-UA" w:eastAsia="ru-RU"/>
              </w:rPr>
              <w:t>.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77FC9" w:rsidRPr="002C3B5F" w:rsidRDefault="00B77FC9" w:rsidP="00821105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B77FC9" w:rsidRPr="002C3B5F" w:rsidRDefault="00B77FC9" w:rsidP="00821105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77FC9" w:rsidRPr="002C3B5F" w:rsidTr="00B77FC9">
        <w:tc>
          <w:tcPr>
            <w:tcW w:w="4161" w:type="dxa"/>
            <w:shd w:val="clear" w:color="auto" w:fill="auto"/>
          </w:tcPr>
          <w:p w:rsidR="00B77FC9" w:rsidRPr="002C3B5F" w:rsidRDefault="00B77FC9" w:rsidP="00B77F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Витрати суб’єктів господарювання на адміністративні процедури щодо виконання регулювання та звітування </w:t>
            </w: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77FC9" w:rsidRPr="002C3B5F" w:rsidRDefault="00B77FC9" w:rsidP="00357690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57690"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478,08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B77FC9" w:rsidRPr="002C3B5F" w:rsidRDefault="00B77FC9" w:rsidP="00821105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501,98</w:t>
            </w:r>
          </w:p>
        </w:tc>
      </w:tr>
      <w:tr w:rsidR="00B77FC9" w:rsidRPr="002C3B5F" w:rsidTr="00B77FC9">
        <w:trPr>
          <w:trHeight w:val="857"/>
        </w:trPr>
        <w:tc>
          <w:tcPr>
            <w:tcW w:w="4161" w:type="dxa"/>
            <w:shd w:val="clear" w:color="auto" w:fill="auto"/>
          </w:tcPr>
          <w:p w:rsidR="00B77FC9" w:rsidRPr="002C3B5F" w:rsidRDefault="00B77FC9" w:rsidP="00821105">
            <w:pPr>
              <w:spacing w:after="0" w:line="240" w:lineRule="auto"/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Рівень поінформованості суб’єктів господарювання стосовно основних положень регуляторного акта</w:t>
            </w:r>
          </w:p>
        </w:tc>
        <w:tc>
          <w:tcPr>
            <w:tcW w:w="5184" w:type="dxa"/>
            <w:gridSpan w:val="2"/>
            <w:shd w:val="clear" w:color="auto" w:fill="auto"/>
          </w:tcPr>
          <w:p w:rsidR="00B77FC9" w:rsidRPr="002C3B5F" w:rsidRDefault="00B77FC9" w:rsidP="00821105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</w:pPr>
            <w:r w:rsidRPr="002C3B5F"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  <w:t>Проект рішення оприлюднюється на офіційному сайті.</w:t>
            </w:r>
          </w:p>
          <w:p w:rsidR="00B77FC9" w:rsidRPr="002C3B5F" w:rsidRDefault="00B77FC9" w:rsidP="00821105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/>
                <w:position w:val="-28"/>
                <w:sz w:val="24"/>
                <w:szCs w:val="24"/>
                <w:lang w:val="uk-UA"/>
              </w:rPr>
              <w:t>Один екземпляр надається до місцевого органу Державної фіскальної служби України.</w:t>
            </w:r>
          </w:p>
        </w:tc>
      </w:tr>
    </w:tbl>
    <w:p w:rsidR="00B77FC9" w:rsidRPr="002C3B5F" w:rsidRDefault="00B77FC9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C0856" w:rsidRPr="002C3B5F" w:rsidRDefault="00B77FC9" w:rsidP="009C0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</w:t>
      </w:r>
      <w:r w:rsidR="009C0856" w:rsidRPr="002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Визначення заходів, за допомогою яких здійснюватиметься відстеження результативності дії регуляторного акта</w:t>
      </w:r>
    </w:p>
    <w:p w:rsidR="00E130C2" w:rsidRPr="002C3B5F" w:rsidRDefault="00E130C2" w:rsidP="006A3CFB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sz w:val="28"/>
          <w:szCs w:val="28"/>
          <w:lang w:val="uk-UA"/>
        </w:rPr>
        <w:t>Базове відстеження результативності буде здійснюватися з дати набрання чинності цього акта протягом 30 днів, тобто з 01.01.2020 по 31.01.2020 року. Повторне відстеження результативності планується здійснити за 3 місяці до дня закінчення чинності регуляторного акта , а саме 01.10.2020 року.</w:t>
      </w:r>
    </w:p>
    <w:p w:rsidR="00E130C2" w:rsidRPr="002C3B5F" w:rsidRDefault="00E130C2" w:rsidP="006A3CFB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sz w:val="28"/>
          <w:szCs w:val="28"/>
          <w:lang w:val="uk-UA"/>
        </w:rPr>
        <w:tab/>
        <w:t>З огляду на показники результативності, визначені у попередньому розділі аналізу впливу регуляторного акта буде здійснюватися статистичним методом.</w:t>
      </w:r>
    </w:p>
    <w:p w:rsidR="00E130C2" w:rsidRPr="002C3B5F" w:rsidRDefault="00E130C2" w:rsidP="006A3CFB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sz w:val="28"/>
          <w:szCs w:val="28"/>
          <w:lang w:val="uk-UA"/>
        </w:rPr>
        <w:tab/>
        <w:t>У рамках статистичного методу відстеження буде проведено аналіз показників, що визначені у попередньому розділі аналізу впливу регуляторного акта.</w:t>
      </w:r>
    </w:p>
    <w:p w:rsidR="00E130C2" w:rsidRPr="002C3B5F" w:rsidRDefault="00E130C2" w:rsidP="006A3CFB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sz w:val="28"/>
          <w:szCs w:val="28"/>
          <w:lang w:val="uk-UA"/>
        </w:rPr>
        <w:t>При проведені відстеження результативності даного  регуляторного акта будуть використовуватись офіційні статистичні дані.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9C0856" w:rsidRPr="002C3B5F" w:rsidRDefault="009C0856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3CFB" w:rsidRPr="002C3B5F" w:rsidRDefault="006A3CFB" w:rsidP="006A3CFB">
      <w:pPr>
        <w:pStyle w:val="ad"/>
        <w:spacing w:after="0"/>
        <w:ind w:left="4387" w:firstLine="2693"/>
        <w:jc w:val="left"/>
        <w:rPr>
          <w:rFonts w:ascii="Times New Roman" w:hAnsi="Times New Roman"/>
          <w:sz w:val="20"/>
        </w:rPr>
      </w:pPr>
      <w:r w:rsidRPr="002C3B5F">
        <w:rPr>
          <w:rFonts w:ascii="Times New Roman" w:hAnsi="Times New Roman"/>
          <w:sz w:val="20"/>
        </w:rPr>
        <w:lastRenderedPageBreak/>
        <w:t>Додаток 1</w:t>
      </w:r>
    </w:p>
    <w:p w:rsidR="006A3CFB" w:rsidRPr="002C3B5F" w:rsidRDefault="006A3CFB" w:rsidP="006A3CFB">
      <w:pPr>
        <w:pStyle w:val="ad"/>
        <w:spacing w:after="0"/>
        <w:ind w:left="4387" w:firstLine="2693"/>
        <w:jc w:val="left"/>
        <w:rPr>
          <w:rFonts w:ascii="Times New Roman" w:hAnsi="Times New Roman"/>
          <w:sz w:val="20"/>
        </w:rPr>
      </w:pPr>
      <w:r w:rsidRPr="002C3B5F">
        <w:rPr>
          <w:rFonts w:ascii="Times New Roman" w:hAnsi="Times New Roman"/>
          <w:sz w:val="20"/>
        </w:rPr>
        <w:t xml:space="preserve">до Методики проведення </w:t>
      </w:r>
    </w:p>
    <w:p w:rsidR="006A3CFB" w:rsidRPr="002C3B5F" w:rsidRDefault="006A3CFB" w:rsidP="006A3CFB">
      <w:pPr>
        <w:pStyle w:val="ad"/>
        <w:spacing w:after="0"/>
        <w:ind w:left="4387" w:firstLine="2693"/>
        <w:jc w:val="left"/>
        <w:rPr>
          <w:rFonts w:ascii="Times New Roman" w:hAnsi="Times New Roman"/>
          <w:sz w:val="20"/>
        </w:rPr>
      </w:pPr>
      <w:r w:rsidRPr="002C3B5F">
        <w:rPr>
          <w:rFonts w:ascii="Times New Roman" w:hAnsi="Times New Roman"/>
          <w:sz w:val="20"/>
        </w:rPr>
        <w:t xml:space="preserve">аналізу впливу </w:t>
      </w:r>
    </w:p>
    <w:p w:rsidR="006A3CFB" w:rsidRPr="002C3B5F" w:rsidRDefault="006A3CFB" w:rsidP="006A3CFB">
      <w:pPr>
        <w:pStyle w:val="ad"/>
        <w:spacing w:after="0"/>
        <w:ind w:left="4387" w:firstLine="2693"/>
        <w:jc w:val="left"/>
        <w:rPr>
          <w:rFonts w:ascii="Times New Roman" w:hAnsi="Times New Roman"/>
          <w:sz w:val="20"/>
        </w:rPr>
      </w:pPr>
      <w:r w:rsidRPr="002C3B5F">
        <w:rPr>
          <w:rFonts w:ascii="Times New Roman" w:hAnsi="Times New Roman"/>
          <w:sz w:val="20"/>
        </w:rPr>
        <w:t>регуляторного акта</w:t>
      </w:r>
    </w:p>
    <w:p w:rsidR="006A3CFB" w:rsidRPr="002C3B5F" w:rsidRDefault="006A3CFB" w:rsidP="006A3CFB">
      <w:pPr>
        <w:ind w:left="-567"/>
        <w:contextualSpacing/>
        <w:jc w:val="both"/>
        <w:rPr>
          <w:rFonts w:ascii="Times New Roman" w:hAnsi="Times New Roman" w:cs="Times New Roman"/>
          <w:color w:val="333333"/>
          <w:sz w:val="20"/>
          <w:szCs w:val="20"/>
          <w:lang w:val="uk-UA" w:eastAsia="uk-UA"/>
        </w:rPr>
      </w:pPr>
    </w:p>
    <w:p w:rsidR="006A3CFB" w:rsidRPr="002C3B5F" w:rsidRDefault="006A3CFB" w:rsidP="006A3CFB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  <w:r w:rsidRPr="002C3B5F">
        <w:rPr>
          <w:spacing w:val="-2"/>
          <w:sz w:val="28"/>
          <w:szCs w:val="28"/>
          <w:lang w:val="uk-UA"/>
        </w:rPr>
        <w:t xml:space="preserve">        </w:t>
      </w:r>
      <w:r w:rsidRPr="002C3B5F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ТЕСТ</w:t>
      </w:r>
      <w:r w:rsidRPr="002C3B5F">
        <w:rPr>
          <w:rStyle w:val="apple-converted-space"/>
          <w:b/>
          <w:bCs/>
          <w:sz w:val="28"/>
          <w:szCs w:val="28"/>
          <w:bdr w:val="none" w:sz="0" w:space="0" w:color="auto" w:frame="1"/>
          <w:lang w:val="uk-UA"/>
        </w:rPr>
        <w:t> </w:t>
      </w:r>
      <w:r w:rsidRPr="002C3B5F">
        <w:rPr>
          <w:sz w:val="28"/>
          <w:szCs w:val="28"/>
          <w:lang w:val="uk-UA"/>
        </w:rPr>
        <w:br/>
      </w:r>
      <w:r w:rsidRPr="002C3B5F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малого підприємництва (М-Тест)</w:t>
      </w:r>
    </w:p>
    <w:p w:rsidR="006A3CFB" w:rsidRPr="002C3B5F" w:rsidRDefault="006A3CFB" w:rsidP="006A3CFB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sz w:val="28"/>
          <w:szCs w:val="28"/>
          <w:lang w:val="uk-UA"/>
        </w:rPr>
      </w:pPr>
    </w:p>
    <w:p w:rsidR="006A3CFB" w:rsidRPr="002C3B5F" w:rsidRDefault="006A3CFB" w:rsidP="00821105">
      <w:pPr>
        <w:pStyle w:val="rvps2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b/>
          <w:sz w:val="28"/>
          <w:szCs w:val="28"/>
          <w:lang w:val="uk-UA"/>
        </w:rPr>
      </w:pPr>
      <w:r w:rsidRPr="002C3B5F">
        <w:rPr>
          <w:b/>
          <w:sz w:val="28"/>
          <w:szCs w:val="28"/>
          <w:lang w:val="uk-UA"/>
        </w:rPr>
        <w:t>Консультації з представниками малого підприємництва щодо оцінки впливу регулювання.</w:t>
      </w:r>
    </w:p>
    <w:p w:rsidR="006A3CFB" w:rsidRPr="002C3B5F" w:rsidRDefault="006A3CFB" w:rsidP="006A3CFB">
      <w:pPr>
        <w:pStyle w:val="rvps2"/>
        <w:spacing w:before="0" w:beforeAutospacing="0" w:after="0" w:afterAutospacing="0"/>
        <w:ind w:firstLine="448"/>
        <w:jc w:val="both"/>
        <w:textAlignment w:val="baseline"/>
        <w:rPr>
          <w:sz w:val="28"/>
          <w:szCs w:val="28"/>
          <w:lang w:val="uk-UA"/>
        </w:rPr>
      </w:pPr>
      <w:r w:rsidRPr="002C3B5F">
        <w:rPr>
          <w:sz w:val="28"/>
          <w:szCs w:val="28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з 1 березня 2019 р. по 1 квітня  2019 р.</w:t>
      </w:r>
    </w:p>
    <w:p w:rsidR="006A3CFB" w:rsidRPr="002C3B5F" w:rsidRDefault="006A3CFB" w:rsidP="006A3CFB">
      <w:pPr>
        <w:pStyle w:val="rvps2"/>
        <w:spacing w:before="0" w:beforeAutospacing="0" w:after="0" w:afterAutospacing="0"/>
        <w:ind w:firstLine="448"/>
        <w:jc w:val="both"/>
        <w:textAlignment w:val="baseline"/>
        <w:rPr>
          <w:sz w:val="28"/>
          <w:szCs w:val="28"/>
          <w:lang w:val="uk-UA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3720"/>
        <w:gridCol w:w="1811"/>
        <w:gridCol w:w="2371"/>
      </w:tblGrid>
      <w:tr w:rsidR="006A3CFB" w:rsidRPr="002C3B5F" w:rsidTr="00821105">
        <w:trPr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Порядковий номер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Кількість учасників консультацій, осіб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Основні результати консультацій (опис)</w:t>
            </w:r>
          </w:p>
        </w:tc>
      </w:tr>
      <w:tr w:rsidR="006A3CFB" w:rsidRPr="002C3B5F" w:rsidTr="00821105">
        <w:trPr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1.</w:t>
            </w: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821105" w:rsidRPr="002C3B5F" w:rsidRDefault="00821105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821105" w:rsidRPr="002C3B5F" w:rsidRDefault="00821105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 xml:space="preserve">2. </w:t>
            </w: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Телефонні розмови із платниками туристичного збору</w:t>
            </w: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821105" w:rsidRPr="002C3B5F" w:rsidRDefault="00821105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821105" w:rsidRPr="002C3B5F" w:rsidRDefault="00821105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Робочі зустрічі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2</w:t>
            </w: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821105" w:rsidRPr="002C3B5F" w:rsidRDefault="00821105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821105" w:rsidRPr="002C3B5F" w:rsidRDefault="00821105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3</w:t>
            </w: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Доведення до відома опитуваних, обґрунтування необхідності прийняття зазначеного проекту регуляторного акту</w:t>
            </w:r>
          </w:p>
          <w:p w:rsidR="00821105" w:rsidRPr="002C3B5F" w:rsidRDefault="00821105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Отримання інформації</w:t>
            </w:r>
          </w:p>
        </w:tc>
      </w:tr>
    </w:tbl>
    <w:p w:rsidR="006A3CFB" w:rsidRPr="002C3B5F" w:rsidRDefault="006A3CFB" w:rsidP="006A3CFB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</w:p>
    <w:p w:rsidR="006A3CFB" w:rsidRPr="002C3B5F" w:rsidRDefault="006A3CFB" w:rsidP="00821105">
      <w:pPr>
        <w:pStyle w:val="rvps2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2C3B5F">
        <w:rPr>
          <w:b/>
          <w:sz w:val="28"/>
          <w:szCs w:val="28"/>
          <w:lang w:val="uk-UA"/>
        </w:rPr>
        <w:t>2.Вимірювання впливу регулювання на суб’єктів малого підприємництва:</w:t>
      </w:r>
    </w:p>
    <w:p w:rsidR="006A3CFB" w:rsidRPr="002C3B5F" w:rsidRDefault="006A3CFB" w:rsidP="006A3CFB">
      <w:pPr>
        <w:pStyle w:val="a4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2C3B5F">
        <w:rPr>
          <w:sz w:val="28"/>
          <w:szCs w:val="28"/>
          <w:lang w:val="uk-UA"/>
        </w:rPr>
        <w:t xml:space="preserve">       кількість суб'єктів малого підприємництва, на яких поширюється регулювання: 2 (одиниці), у тому числі малого підприємництва 0 (одиниць) та </w:t>
      </w:r>
      <w:proofErr w:type="spellStart"/>
      <w:r w:rsidRPr="002C3B5F">
        <w:rPr>
          <w:sz w:val="28"/>
          <w:szCs w:val="28"/>
          <w:lang w:val="uk-UA"/>
        </w:rPr>
        <w:t>мікропідприємництва</w:t>
      </w:r>
      <w:proofErr w:type="spellEnd"/>
      <w:r w:rsidRPr="002C3B5F">
        <w:rPr>
          <w:sz w:val="28"/>
          <w:szCs w:val="28"/>
          <w:lang w:val="uk-UA"/>
        </w:rPr>
        <w:t xml:space="preserve"> 2 (одиниці);</w:t>
      </w:r>
    </w:p>
    <w:p w:rsidR="006A3CFB" w:rsidRPr="002C3B5F" w:rsidRDefault="006A3CFB" w:rsidP="006A3CFB">
      <w:pPr>
        <w:pStyle w:val="a4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2C3B5F">
        <w:rPr>
          <w:sz w:val="28"/>
          <w:szCs w:val="28"/>
          <w:lang w:val="uk-UA"/>
        </w:rPr>
        <w:t xml:space="preserve">       питома вага суб'єктів малого підприємництва у загальній кількості суб'єктів господарювання, на яких проблема справляє вплив 100 (відсотків).</w:t>
      </w:r>
    </w:p>
    <w:p w:rsidR="006A3CFB" w:rsidRPr="002C3B5F" w:rsidRDefault="006A3CFB" w:rsidP="006A3CFB">
      <w:pPr>
        <w:pStyle w:val="a4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p w:rsidR="00821105" w:rsidRPr="002C3B5F" w:rsidRDefault="00821105" w:rsidP="006A3CFB">
      <w:pPr>
        <w:pStyle w:val="a4"/>
        <w:spacing w:before="120" w:beforeAutospacing="0" w:after="120" w:afterAutospacing="0"/>
        <w:ind w:firstLine="450"/>
        <w:jc w:val="both"/>
        <w:rPr>
          <w:b/>
          <w:sz w:val="28"/>
          <w:szCs w:val="28"/>
          <w:lang w:val="uk-UA"/>
        </w:rPr>
      </w:pPr>
    </w:p>
    <w:p w:rsidR="006A3CFB" w:rsidRPr="002C3B5F" w:rsidRDefault="006A3CFB" w:rsidP="00821105">
      <w:pPr>
        <w:pStyle w:val="a4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2C3B5F">
        <w:rPr>
          <w:b/>
          <w:sz w:val="28"/>
          <w:szCs w:val="28"/>
          <w:lang w:val="uk-UA"/>
        </w:rPr>
        <w:lastRenderedPageBreak/>
        <w:t>3.Розрахунок витрат суб’єктів малого підприємництва на виконання вимог регулювання.</w:t>
      </w:r>
    </w:p>
    <w:tbl>
      <w:tblPr>
        <w:tblW w:w="5054" w:type="pct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134"/>
        <w:gridCol w:w="2135"/>
        <w:gridCol w:w="1336"/>
        <w:gridCol w:w="1041"/>
      </w:tblGrid>
      <w:tr w:rsidR="006A3CFB" w:rsidRPr="002C3B5F" w:rsidTr="00821105">
        <w:trPr>
          <w:trHeight w:val="1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Поряд-</w:t>
            </w:r>
            <w:proofErr w:type="spellStart"/>
            <w:r w:rsidRPr="002C3B5F">
              <w:rPr>
                <w:lang w:val="uk-UA"/>
              </w:rPr>
              <w:t>ковий</w:t>
            </w:r>
            <w:proofErr w:type="spellEnd"/>
            <w:r w:rsidRPr="002C3B5F">
              <w:rPr>
                <w:lang w:val="uk-UA"/>
              </w:rPr>
              <w:t xml:space="preserve"> номер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Найменування оцінки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Періодичні (за наступний рік)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Витрати за</w:t>
            </w:r>
            <w:r w:rsidRPr="002C3B5F">
              <w:rPr>
                <w:lang w:val="uk-UA"/>
              </w:rPr>
              <w:br/>
              <w:t>п’ять років</w:t>
            </w:r>
          </w:p>
        </w:tc>
      </w:tr>
      <w:tr w:rsidR="006A3CFB" w:rsidRPr="002C3B5F" w:rsidTr="00821105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6A3CFB" w:rsidRPr="002C3B5F" w:rsidTr="00821105">
        <w:trPr>
          <w:trHeight w:val="83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5" w:rsidRPr="002C3B5F" w:rsidRDefault="00821105" w:rsidP="00FB5F22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lang w:val="uk-UA"/>
              </w:rPr>
            </w:pPr>
          </w:p>
          <w:p w:rsidR="006A3CFB" w:rsidRPr="002C3B5F" w:rsidRDefault="006A3CFB" w:rsidP="00FB5F22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sz w:val="28"/>
                <w:szCs w:val="28"/>
                <w:lang w:val="uk-UA"/>
              </w:rPr>
            </w:pPr>
            <w:r w:rsidRPr="002C3B5F">
              <w:rPr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821105" w:rsidRPr="002C3B5F" w:rsidRDefault="00821105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1105" w:rsidRPr="002C3B5F" w:rsidRDefault="00821105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821105" w:rsidRPr="002C3B5F" w:rsidRDefault="00821105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CFB" w:rsidRPr="002C3B5F" w:rsidTr="00FB5F22">
        <w:trPr>
          <w:trHeight w:val="122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FB5F22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sz w:val="28"/>
                <w:szCs w:val="28"/>
                <w:lang w:val="uk-UA"/>
              </w:rPr>
            </w:pPr>
            <w:r w:rsidRPr="002C3B5F">
              <w:rPr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A3CFB" w:rsidRPr="002C3B5F" w:rsidTr="00821105">
        <w:trPr>
          <w:trHeight w:val="73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FB5F22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sz w:val="28"/>
                <w:szCs w:val="28"/>
                <w:lang w:val="uk-UA"/>
              </w:rPr>
            </w:pPr>
            <w:r w:rsidRPr="002C3B5F">
              <w:rPr>
                <w:lang w:val="uk-UA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A3CFB" w:rsidRPr="002C3B5F" w:rsidTr="00821105">
        <w:trPr>
          <w:trHeight w:val="89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821105">
            <w:pPr>
              <w:pStyle w:val="rvps12"/>
              <w:spacing w:before="150" w:beforeAutospacing="0" w:after="15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FB5F22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2C3B5F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2C3B5F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2C3B5F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A3CFB" w:rsidRPr="002C3B5F" w:rsidTr="00FB5F22">
        <w:trPr>
          <w:trHeight w:val="37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2C3B5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FB5F22">
            <w:pPr>
              <w:pStyle w:val="rvps14"/>
              <w:spacing w:before="0" w:beforeAutospacing="0" w:after="0" w:afterAutospacing="0"/>
              <w:ind w:firstLine="182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Інші процедури (сплата податку)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FB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A3CFB" w:rsidRPr="002C3B5F" w:rsidTr="00821105">
        <w:trPr>
          <w:trHeight w:val="1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2C3B5F">
            <w:pPr>
              <w:pStyle w:val="rvps14"/>
              <w:spacing w:before="0" w:beforeAutospacing="0" w:after="0" w:afterAutospacing="0"/>
              <w:ind w:firstLine="182"/>
              <w:textAlignment w:val="baseline"/>
              <w:rPr>
                <w:lang w:val="uk-UA"/>
              </w:rPr>
            </w:pPr>
            <w:r w:rsidRPr="002C3B5F">
              <w:rPr>
                <w:b/>
                <w:u w:val="single"/>
                <w:lang w:val="uk-UA"/>
              </w:rPr>
              <w:t>Разом, гривень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2C3B5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A3CFB" w:rsidRPr="002C3B5F" w:rsidTr="00821105">
        <w:trPr>
          <w:trHeight w:val="1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F" w:rsidRPr="002C3B5F" w:rsidRDefault="002C3B5F" w:rsidP="002C3B5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2C3B5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2C3B5F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sz w:val="28"/>
                <w:szCs w:val="28"/>
                <w:lang w:val="uk-UA"/>
              </w:rPr>
            </w:pPr>
            <w:r w:rsidRPr="002C3B5F">
              <w:rPr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2C3B5F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A3CFB" w:rsidRPr="002C3B5F" w:rsidTr="00821105">
        <w:trPr>
          <w:trHeight w:val="25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ind w:firstLine="182"/>
              <w:textAlignment w:val="baseline"/>
              <w:rPr>
                <w:b/>
                <w:u w:val="single"/>
                <w:lang w:val="uk-UA"/>
              </w:rPr>
            </w:pPr>
            <w:r w:rsidRPr="002C3B5F">
              <w:rPr>
                <w:b/>
                <w:u w:val="single"/>
                <w:lang w:val="uk-UA"/>
              </w:rPr>
              <w:t>Сумарно, гривень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420 грн</w:t>
            </w:r>
          </w:p>
        </w:tc>
      </w:tr>
      <w:tr w:rsidR="006A3CFB" w:rsidRPr="002C3B5F" w:rsidTr="00821105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2"/>
              <w:spacing w:before="0" w:beforeAutospacing="0" w:after="0" w:afterAutospacing="0" w:line="15" w:lineRule="atLeast"/>
              <w:ind w:right="281" w:firstLine="450"/>
              <w:jc w:val="both"/>
              <w:textAlignment w:val="baseline"/>
              <w:rPr>
                <w:b/>
                <w:lang w:val="uk-UA"/>
              </w:rPr>
            </w:pPr>
          </w:p>
          <w:p w:rsidR="006A3CFB" w:rsidRPr="002C3B5F" w:rsidRDefault="006A3CFB" w:rsidP="00821105">
            <w:pPr>
              <w:pStyle w:val="rvps2"/>
              <w:spacing w:before="0" w:beforeAutospacing="0" w:after="0" w:afterAutospacing="0" w:line="15" w:lineRule="atLeast"/>
              <w:ind w:right="281" w:firstLine="450"/>
              <w:jc w:val="both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6A3CFB" w:rsidRPr="002C3B5F" w:rsidTr="00821105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2"/>
              <w:spacing w:before="0" w:beforeAutospacing="0" w:after="150" w:afterAutospacing="0" w:line="15" w:lineRule="atLeast"/>
              <w:ind w:firstLine="450"/>
              <w:jc w:val="both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Розрахунок вартості 1 людино-години:</w:t>
            </w:r>
          </w:p>
          <w:p w:rsidR="006A3CFB" w:rsidRPr="002C3B5F" w:rsidRDefault="006A3CFB" w:rsidP="00821105">
            <w:pPr>
              <w:pStyle w:val="Default"/>
              <w:ind w:firstLine="567"/>
              <w:jc w:val="both"/>
              <w:rPr>
                <w:color w:val="auto"/>
                <w:lang w:val="uk-UA"/>
              </w:rPr>
            </w:pPr>
            <w:r w:rsidRPr="002C3B5F">
              <w:rPr>
                <w:b/>
                <w:kern w:val="3"/>
                <w:lang w:val="uk-UA" w:eastAsia="zh-CN" w:bidi="hi-IN"/>
              </w:rPr>
              <w:t>Примітка</w:t>
            </w:r>
            <w:r w:rsidRPr="002C3B5F">
              <w:rPr>
                <w:kern w:val="3"/>
                <w:lang w:val="uk-UA" w:eastAsia="zh-CN" w:bidi="hi-IN"/>
              </w:rPr>
              <w:t xml:space="preserve">. </w:t>
            </w:r>
            <w:r w:rsidRPr="002C3B5F">
              <w:rPr>
                <w:color w:val="auto"/>
                <w:lang w:val="uk-UA"/>
              </w:rPr>
              <w:t xml:space="preserve">Відповідно до основних прогнозних </w:t>
            </w:r>
            <w:proofErr w:type="spellStart"/>
            <w:r w:rsidRPr="002C3B5F">
              <w:rPr>
                <w:color w:val="auto"/>
                <w:lang w:val="uk-UA"/>
              </w:rPr>
              <w:t>макропоказниками</w:t>
            </w:r>
            <w:proofErr w:type="spellEnd"/>
            <w:r w:rsidRPr="002C3B5F">
              <w:rPr>
                <w:color w:val="auto"/>
                <w:lang w:val="uk-UA"/>
              </w:rPr>
              <w:t xml:space="preserve"> економічного і соціального розвитку України, схвалених постановою Кабінету Міністрів України від 11.07.2018 №546  мінімальний розмір заробітної плати у 2020 році становитиме 4407 грн,  а у погодинному розмірі  26,42 грн (4407*12міс/2002 (норма робочого часу у 2020р)). </w:t>
            </w:r>
          </w:p>
          <w:p w:rsidR="006A3CFB" w:rsidRPr="002C3B5F" w:rsidRDefault="006A3CFB" w:rsidP="00821105">
            <w:pPr>
              <w:pStyle w:val="rvps2"/>
              <w:spacing w:before="0" w:beforeAutospacing="0" w:after="150" w:afterAutospacing="0" w:line="15" w:lineRule="atLeast"/>
              <w:ind w:left="185" w:right="281" w:firstLine="265"/>
              <w:jc w:val="both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 xml:space="preserve">Норма робочого часу на 2020 рік становитиме при 40-годинному робочому тижні – 2002,0 години </w:t>
            </w:r>
          </w:p>
        </w:tc>
      </w:tr>
      <w:tr w:rsidR="006A3CFB" w:rsidRPr="002C3B5F" w:rsidTr="00821105">
        <w:trPr>
          <w:trHeight w:val="1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A7738C" w:rsidRDefault="006A3CFB" w:rsidP="00821105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lang w:val="uk-UA"/>
              </w:rPr>
            </w:pPr>
            <w:r w:rsidRPr="00A7738C">
              <w:rPr>
                <w:lang w:val="uk-UA"/>
              </w:rPr>
              <w:t>Процедури отримання первинної інформації про вимоги регулювання</w:t>
            </w:r>
          </w:p>
          <w:p w:rsidR="006A3CFB" w:rsidRPr="002C3B5F" w:rsidRDefault="006A3CFB" w:rsidP="00A7738C">
            <w:pPr>
              <w:pStyle w:val="rvps14"/>
              <w:spacing w:before="0" w:beforeAutospacing="0" w:after="0" w:afterAutospacing="0" w:line="15" w:lineRule="atLeast"/>
              <w:ind w:left="41"/>
              <w:jc w:val="both"/>
              <w:textAlignment w:val="baseline"/>
              <w:rPr>
                <w:lang w:val="uk-UA"/>
              </w:rPr>
            </w:pPr>
            <w:r w:rsidRPr="00A7738C">
              <w:rPr>
                <w:lang w:val="uk-UA"/>
              </w:rPr>
              <w:t xml:space="preserve">  </w:t>
            </w:r>
            <w:r w:rsidR="00A7738C" w:rsidRPr="00814DD8">
              <w:rPr>
                <w:lang w:val="uk-UA"/>
              </w:rPr>
              <w:t>(близько   1 год для вивчення регуляторного акта)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26,42</w:t>
            </w:r>
          </w:p>
        </w:tc>
      </w:tr>
      <w:tr w:rsidR="006A3CFB" w:rsidRPr="002C3B5F" w:rsidTr="00821105">
        <w:trPr>
          <w:trHeight w:val="1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Процедури організації виконання вимог регулювання</w:t>
            </w:r>
          </w:p>
          <w:p w:rsidR="006A3CFB" w:rsidRDefault="006A3CFB" w:rsidP="00821105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i/>
                <w:lang w:val="uk-UA"/>
              </w:rPr>
            </w:pPr>
            <w:r w:rsidRPr="002C3B5F">
              <w:rPr>
                <w:b/>
                <w:lang w:val="uk-UA"/>
              </w:rPr>
              <w:lastRenderedPageBreak/>
              <w:t xml:space="preserve"> </w:t>
            </w:r>
            <w:r w:rsidRPr="002C3B5F">
              <w:rPr>
                <w:i/>
                <w:lang w:val="uk-UA"/>
              </w:rPr>
              <w:t>(здійснення відповідного обліку, проведення оплати податку поквартально – 4 рази в рік )</w:t>
            </w:r>
          </w:p>
          <w:p w:rsidR="002C3B5F" w:rsidRPr="002C3B5F" w:rsidRDefault="00A7738C" w:rsidP="00A7738C">
            <w:pPr>
              <w:pStyle w:val="rvps14"/>
              <w:spacing w:before="0" w:beforeAutospacing="0" w:after="0" w:afterAutospacing="0"/>
              <w:ind w:left="182"/>
              <w:textAlignment w:val="baseline"/>
              <w:rPr>
                <w:i/>
                <w:lang w:val="uk-UA"/>
              </w:rPr>
            </w:pPr>
            <w:r w:rsidRPr="00814DD8">
              <w:rPr>
                <w:lang w:val="uk-UA"/>
              </w:rPr>
              <w:t xml:space="preserve">(близько   1 год для </w:t>
            </w:r>
            <w:r>
              <w:rPr>
                <w:lang w:val="uk-UA"/>
              </w:rPr>
              <w:t>виконання процедури</w:t>
            </w:r>
            <w:r w:rsidRPr="00814DD8">
              <w:rPr>
                <w:lang w:val="uk-UA"/>
              </w:rPr>
              <w:t>)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3CFB" w:rsidRPr="002C3B5F" w:rsidRDefault="006A3CFB" w:rsidP="002C3B5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2C3B5F">
              <w:rPr>
                <w:lang w:val="uk-UA"/>
              </w:rPr>
              <w:lastRenderedPageBreak/>
              <w:t>105,68</w:t>
            </w:r>
          </w:p>
          <w:p w:rsidR="006A3CFB" w:rsidRPr="002C3B5F" w:rsidRDefault="006A3CFB" w:rsidP="002C3B5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6A3CFB" w:rsidRPr="002C3B5F" w:rsidTr="00FB5F22">
        <w:trPr>
          <w:trHeight w:val="59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lastRenderedPageBreak/>
              <w:t>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F" w:rsidRPr="002C3B5F" w:rsidRDefault="006A3CFB" w:rsidP="00FB5F22">
            <w:pPr>
              <w:pStyle w:val="rvps14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  <w:lang w:val="uk-UA"/>
              </w:rPr>
            </w:pPr>
            <w:r w:rsidRPr="002C3B5F">
              <w:rPr>
                <w:lang w:val="uk-UA"/>
              </w:rPr>
              <w:t>Процедури офіційного звітування</w:t>
            </w:r>
            <w:r w:rsidR="00FB5F22">
              <w:rPr>
                <w:lang w:val="uk-UA"/>
              </w:rPr>
              <w:t xml:space="preserve"> </w:t>
            </w:r>
            <w:r w:rsidR="00FB5F22" w:rsidRPr="00FB5F22">
              <w:rPr>
                <w:i/>
                <w:lang w:val="uk-UA"/>
              </w:rPr>
              <w:t>(одна година, 4 рази в рік)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FB5F22" w:rsidRDefault="002C3B5F" w:rsidP="00FB5F22">
            <w:pPr>
              <w:pStyle w:val="rvps2"/>
              <w:spacing w:before="0" w:beforeAutospacing="0" w:after="0" w:afterAutospacing="0"/>
              <w:ind w:firstLine="450"/>
              <w:textAlignment w:val="baseline"/>
              <w:rPr>
                <w:lang w:val="uk-UA"/>
              </w:rPr>
            </w:pPr>
            <w:r w:rsidRPr="00FB5F22">
              <w:rPr>
                <w:lang w:val="uk-UA"/>
              </w:rPr>
              <w:t xml:space="preserve">                           </w:t>
            </w:r>
            <w:r w:rsidR="006A3CFB" w:rsidRPr="00FB5F22">
              <w:rPr>
                <w:lang w:val="uk-UA"/>
              </w:rPr>
              <w:t>105,68</w:t>
            </w:r>
          </w:p>
        </w:tc>
      </w:tr>
      <w:tr w:rsidR="006A3CFB" w:rsidRPr="002C3B5F" w:rsidTr="00821105">
        <w:trPr>
          <w:trHeight w:val="1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F" w:rsidRPr="002C3B5F" w:rsidRDefault="006A3CFB" w:rsidP="00FB5F22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 xml:space="preserve">Процедури щодо забезпечення процесу перевірок (проведення звірок, уточнень і т. д.)   0,5год 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2C3B5F">
              <w:rPr>
                <w:lang w:val="uk-UA"/>
              </w:rPr>
              <w:t>13,21</w:t>
            </w:r>
          </w:p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6A3CFB" w:rsidRPr="002C3B5F" w:rsidTr="00821105">
        <w:trPr>
          <w:trHeight w:val="1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13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Default="002C3B5F" w:rsidP="00821105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Інші процедури</w:t>
            </w:r>
          </w:p>
          <w:p w:rsidR="002C3B5F" w:rsidRPr="002C3B5F" w:rsidRDefault="002C3B5F" w:rsidP="00821105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-</w:t>
            </w:r>
          </w:p>
        </w:tc>
      </w:tr>
      <w:tr w:rsidR="006A3CFB" w:rsidRPr="002C3B5F" w:rsidTr="00821105">
        <w:trPr>
          <w:trHeight w:val="23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14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Default="006A3CFB" w:rsidP="00821105">
            <w:pPr>
              <w:pStyle w:val="rvps14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Разом, гривень</w:t>
            </w:r>
          </w:p>
          <w:p w:rsidR="002C3B5F" w:rsidRPr="002C3B5F" w:rsidRDefault="002C3B5F" w:rsidP="00821105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250,99</w:t>
            </w:r>
          </w:p>
        </w:tc>
      </w:tr>
      <w:tr w:rsidR="006A3CFB" w:rsidRPr="002C3B5F" w:rsidTr="00821105">
        <w:trPr>
          <w:trHeight w:val="93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F" w:rsidRPr="002C3B5F" w:rsidRDefault="002C3B5F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</w:p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15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Default="006A3CFB" w:rsidP="00821105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  <w:p w:rsidR="002C3B5F" w:rsidRPr="002C3B5F" w:rsidRDefault="002C3B5F" w:rsidP="00821105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b/>
                <w:lang w:val="uk-UA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2</w:t>
            </w:r>
          </w:p>
        </w:tc>
      </w:tr>
      <w:tr w:rsidR="006A3CFB" w:rsidRPr="002C3B5F" w:rsidTr="00821105">
        <w:trPr>
          <w:trHeight w:val="1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2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 w:rsidRPr="002C3B5F">
              <w:rPr>
                <w:lang w:val="uk-UA"/>
              </w:rPr>
              <w:t>16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Default="006A3CFB" w:rsidP="00821105">
            <w:pPr>
              <w:pStyle w:val="rvps14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Сумарно, гривень</w:t>
            </w:r>
          </w:p>
          <w:p w:rsidR="002C3B5F" w:rsidRPr="002C3B5F" w:rsidRDefault="002C3B5F" w:rsidP="00821105">
            <w:pPr>
              <w:pStyle w:val="rvps14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FB" w:rsidRPr="002C3B5F" w:rsidRDefault="006A3CFB" w:rsidP="0082110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2C3B5F">
              <w:rPr>
                <w:b/>
                <w:lang w:val="uk-UA"/>
              </w:rPr>
              <w:t>501,98</w:t>
            </w:r>
          </w:p>
        </w:tc>
      </w:tr>
    </w:tbl>
    <w:p w:rsidR="006A3CFB" w:rsidRPr="002C3B5F" w:rsidRDefault="006A3CFB" w:rsidP="006A3CFB">
      <w:pPr>
        <w:pStyle w:val="ab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CFB" w:rsidRPr="002C3B5F" w:rsidRDefault="006A3CFB" w:rsidP="006A3CFB">
      <w:pPr>
        <w:pStyle w:val="ab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CFB" w:rsidRPr="002C3B5F" w:rsidRDefault="006A3CFB" w:rsidP="006A3CFB">
      <w:pPr>
        <w:pStyle w:val="ab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5F">
        <w:rPr>
          <w:rFonts w:ascii="Times New Roman" w:hAnsi="Times New Roman" w:cs="Times New Roman"/>
          <w:b/>
          <w:sz w:val="28"/>
          <w:szCs w:val="28"/>
        </w:rPr>
        <w:t>Бюджетні витрати на адміністрування регулювання</w:t>
      </w:r>
      <w:r w:rsidRPr="002C3B5F">
        <w:rPr>
          <w:rFonts w:ascii="Times New Roman" w:hAnsi="Times New Roman" w:cs="Times New Roman"/>
          <w:b/>
          <w:sz w:val="28"/>
          <w:szCs w:val="28"/>
        </w:rPr>
        <w:br/>
        <w:t>суб’єктів малого підприємництва</w:t>
      </w:r>
    </w:p>
    <w:p w:rsidR="006A3CFB" w:rsidRPr="002C3B5F" w:rsidRDefault="006A3CFB" w:rsidP="00FB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B5F">
        <w:rPr>
          <w:rFonts w:ascii="Times New Roman" w:hAnsi="Times New Roman" w:cs="Times New Roman"/>
          <w:sz w:val="28"/>
          <w:szCs w:val="28"/>
          <w:lang w:val="uk-UA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6A3CFB" w:rsidRPr="002C3B5F" w:rsidRDefault="006A3CFB" w:rsidP="00FB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10"/>
      <w:bookmarkEnd w:id="0"/>
      <w:r w:rsidRPr="002C3B5F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орган, для якого здійснюється розрахунок вартості адміністрування регулювання: </w:t>
      </w:r>
      <w:bookmarkStart w:id="1" w:name="n211"/>
      <w:bookmarkEnd w:id="1"/>
    </w:p>
    <w:p w:rsidR="006A3CFB" w:rsidRPr="002C3B5F" w:rsidRDefault="006A3CFB" w:rsidP="00FB5F22">
      <w:pPr>
        <w:pBdr>
          <w:bottom w:val="single" w:sz="6" w:space="2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u w:val="single"/>
          <w:lang w:val="uk-UA"/>
        </w:rPr>
      </w:pPr>
      <w:proofErr w:type="spellStart"/>
      <w:r w:rsidRPr="002C3B5F">
        <w:rPr>
          <w:rFonts w:ascii="Times New Roman" w:hAnsi="Times New Roman" w:cs="Times New Roman"/>
          <w:kern w:val="36"/>
          <w:sz w:val="28"/>
          <w:szCs w:val="28"/>
          <w:u w:val="single"/>
          <w:lang w:val="uk-UA"/>
        </w:rPr>
        <w:t>Красноградська</w:t>
      </w:r>
      <w:proofErr w:type="spellEnd"/>
      <w:r w:rsidRPr="002C3B5F">
        <w:rPr>
          <w:rFonts w:ascii="Times New Roman" w:hAnsi="Times New Roman" w:cs="Times New Roman"/>
          <w:kern w:val="36"/>
          <w:sz w:val="28"/>
          <w:szCs w:val="28"/>
          <w:u w:val="single"/>
          <w:lang w:val="uk-UA"/>
        </w:rPr>
        <w:t xml:space="preserve"> державна податкова інспекція Південного управління Головного управління ДФС у Харківській області</w:t>
      </w:r>
    </w:p>
    <w:tbl>
      <w:tblPr>
        <w:tblW w:w="98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559"/>
        <w:gridCol w:w="1560"/>
        <w:gridCol w:w="1275"/>
        <w:gridCol w:w="1288"/>
      </w:tblGrid>
      <w:tr w:rsidR="006A3CFB" w:rsidRPr="002C3B5F" w:rsidTr="00821105">
        <w:trPr>
          <w:trHeight w:val="28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FF67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Процедура регулювання суб’єктів малого та мікро-підприємництва)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Планові витрати часу на процедуру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Витрати на адміністрування регулювання* (за рік), гривень</w:t>
            </w:r>
          </w:p>
        </w:tc>
      </w:tr>
      <w:tr w:rsidR="006A3CFB" w:rsidRPr="002C3B5F" w:rsidTr="00821105">
        <w:trPr>
          <w:trHeight w:val="10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 Облік суб’єкта господарювання, що перебуває у сфері регулювання: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26,42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63,41</w:t>
            </w:r>
          </w:p>
        </w:tc>
      </w:tr>
      <w:tr w:rsidR="006A3CFB" w:rsidRPr="002C3B5F" w:rsidTr="00821105">
        <w:trPr>
          <w:trHeight w:val="14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2. Поточний контроль за суб’єктом господарювання, що перебуває у сфері регулювання, у тому числі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26,42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105,68</w:t>
            </w:r>
          </w:p>
        </w:tc>
      </w:tr>
      <w:tr w:rsidR="006A3CFB" w:rsidRPr="002C3B5F" w:rsidTr="00821105">
        <w:trPr>
          <w:trHeight w:val="17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</w:tr>
      <w:tr w:rsidR="006A3CFB" w:rsidRPr="002C3B5F" w:rsidTr="00821105">
        <w:trPr>
          <w:trHeight w:val="12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 Реалізація одного окремого рішення щодо порушення вимог регулювання: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</w:tr>
      <w:tr w:rsidR="006A3CFB" w:rsidRPr="002C3B5F" w:rsidTr="00821105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5F" w:rsidRDefault="002C3B5F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</w:tr>
      <w:tr w:rsidR="006A3CFB" w:rsidRPr="002C3B5F" w:rsidTr="00821105">
        <w:trPr>
          <w:trHeight w:val="559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6. Підготовка звітності за результатами регулювання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</w:t>
            </w:r>
          </w:p>
        </w:tc>
      </w:tr>
      <w:tr w:rsidR="006A3CFB" w:rsidRPr="002C3B5F" w:rsidTr="00821105">
        <w:trPr>
          <w:trHeight w:val="69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 Інші адміністративні процедури (уточнити)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26,42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15,85</w:t>
            </w:r>
          </w:p>
        </w:tc>
      </w:tr>
      <w:tr w:rsidR="006A3CFB" w:rsidRPr="002C3B5F" w:rsidTr="00821105">
        <w:trPr>
          <w:trHeight w:val="2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Разом за рік: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184,94</w:t>
            </w: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A3CFB" w:rsidRPr="002C3B5F" w:rsidTr="00821105">
        <w:trPr>
          <w:trHeight w:val="4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Сумарно за п’ять років: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</w:tr>
    </w:tbl>
    <w:p w:rsidR="006A3CFB" w:rsidRPr="002C3B5F" w:rsidRDefault="006A3CFB" w:rsidP="006A3CFB">
      <w:pPr>
        <w:pStyle w:val="a4"/>
        <w:jc w:val="both"/>
        <w:rPr>
          <w:sz w:val="22"/>
          <w:szCs w:val="22"/>
          <w:lang w:val="uk-UA"/>
        </w:rPr>
      </w:pPr>
      <w:r w:rsidRPr="002C3B5F">
        <w:rPr>
          <w:sz w:val="20"/>
          <w:lang w:val="uk-UA"/>
        </w:rPr>
        <w:t xml:space="preserve">* </w:t>
      </w:r>
      <w:r w:rsidRPr="002C3B5F">
        <w:rPr>
          <w:sz w:val="22"/>
          <w:szCs w:val="19"/>
          <w:lang w:val="uk-UA"/>
        </w:rPr>
        <w:t xml:space="preserve">Дані </w:t>
      </w:r>
      <w:r w:rsidRPr="002C3B5F">
        <w:rPr>
          <w:kern w:val="36"/>
          <w:sz w:val="22"/>
          <w:szCs w:val="22"/>
          <w:lang w:val="uk-UA"/>
        </w:rPr>
        <w:t xml:space="preserve">Красноградської державної податкової інспекції </w:t>
      </w:r>
      <w:r w:rsidRPr="002C3B5F">
        <w:rPr>
          <w:sz w:val="22"/>
          <w:szCs w:val="22"/>
          <w:lang w:val="uk-UA"/>
        </w:rPr>
        <w:t>отримані в телефонному режимі.</w:t>
      </w:r>
    </w:p>
    <w:p w:rsidR="006A3CFB" w:rsidRPr="002C3B5F" w:rsidRDefault="006A3CFB" w:rsidP="006A3CFB">
      <w:pPr>
        <w:pStyle w:val="ab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B5F">
        <w:rPr>
          <w:rFonts w:ascii="Times New Roman" w:hAnsi="Times New Roman" w:cs="Times New Roman"/>
          <w:b/>
          <w:sz w:val="28"/>
          <w:szCs w:val="28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582"/>
        <w:gridCol w:w="1789"/>
        <w:gridCol w:w="1402"/>
      </w:tblGrid>
      <w:tr w:rsidR="006A3CFB" w:rsidRPr="002C3B5F" w:rsidTr="00821105">
        <w:tc>
          <w:tcPr>
            <w:tcW w:w="1560" w:type="dxa"/>
            <w:vAlign w:val="center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n217"/>
            <w:bookmarkEnd w:id="2"/>
            <w:r w:rsidRPr="002C3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4590" w:type="dxa"/>
            <w:hideMark/>
          </w:tcPr>
          <w:p w:rsidR="002C3B5F" w:rsidRPr="002C3B5F" w:rsidRDefault="002C3B5F" w:rsidP="0082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790" w:type="dxa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рік регулювання (стартовий)</w:t>
            </w:r>
          </w:p>
        </w:tc>
        <w:tc>
          <w:tcPr>
            <w:tcW w:w="1405" w:type="dxa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п’ять років</w:t>
            </w:r>
            <w:r w:rsidRPr="002C3B5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*</w:t>
            </w:r>
          </w:p>
        </w:tc>
      </w:tr>
      <w:tr w:rsidR="006A3CFB" w:rsidRPr="002C3B5F" w:rsidTr="00821105">
        <w:trPr>
          <w:trHeight w:val="635"/>
        </w:trPr>
        <w:tc>
          <w:tcPr>
            <w:tcW w:w="1560" w:type="dxa"/>
            <w:vAlign w:val="center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90" w:type="dxa"/>
            <w:hideMark/>
          </w:tcPr>
          <w:p w:rsidR="006A3CFB" w:rsidRPr="002C3B5F" w:rsidRDefault="006A3CFB" w:rsidP="00821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1790" w:type="dxa"/>
            <w:hideMark/>
          </w:tcPr>
          <w:p w:rsidR="002C3B5F" w:rsidRDefault="002C3B5F" w:rsidP="002C3B5F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1405" w:type="dxa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A3CFB" w:rsidRPr="002C3B5F" w:rsidTr="00821105">
        <w:tc>
          <w:tcPr>
            <w:tcW w:w="1560" w:type="dxa"/>
            <w:vAlign w:val="center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90" w:type="dxa"/>
            <w:hideMark/>
          </w:tcPr>
          <w:p w:rsidR="006A3CFB" w:rsidRPr="002C3B5F" w:rsidRDefault="006A3CFB" w:rsidP="00821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90" w:type="dxa"/>
            <w:hideMark/>
          </w:tcPr>
          <w:p w:rsidR="002C3B5F" w:rsidRDefault="002C3B5F" w:rsidP="002C3B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501,98</w:t>
            </w:r>
          </w:p>
        </w:tc>
        <w:tc>
          <w:tcPr>
            <w:tcW w:w="1405" w:type="dxa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A3CFB" w:rsidRPr="002C3B5F" w:rsidTr="00821105">
        <w:tc>
          <w:tcPr>
            <w:tcW w:w="1560" w:type="dxa"/>
            <w:vAlign w:val="center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590" w:type="dxa"/>
            <w:hideMark/>
          </w:tcPr>
          <w:p w:rsidR="006A3CFB" w:rsidRPr="002C3B5F" w:rsidRDefault="006A3CFB" w:rsidP="00821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1790" w:type="dxa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921,98</w:t>
            </w:r>
          </w:p>
        </w:tc>
        <w:tc>
          <w:tcPr>
            <w:tcW w:w="1405" w:type="dxa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A3CFB" w:rsidRPr="002C3B5F" w:rsidTr="00821105">
        <w:tc>
          <w:tcPr>
            <w:tcW w:w="1560" w:type="dxa"/>
            <w:vAlign w:val="center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90" w:type="dxa"/>
            <w:hideMark/>
          </w:tcPr>
          <w:p w:rsidR="006A3CFB" w:rsidRPr="002C3B5F" w:rsidRDefault="006A3CFB" w:rsidP="00821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1790" w:type="dxa"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C3B5F">
              <w:rPr>
                <w:rFonts w:ascii="Times New Roman" w:hAnsi="Times New Roman" w:cs="Times New Roman"/>
                <w:color w:val="000000"/>
                <w:lang w:val="uk-UA" w:eastAsia="uk-UA"/>
              </w:rPr>
              <w:t>184,94</w:t>
            </w:r>
          </w:p>
          <w:p w:rsidR="006A3CFB" w:rsidRPr="002C3B5F" w:rsidRDefault="006A3CFB" w:rsidP="002C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A3CFB" w:rsidRPr="002C3B5F" w:rsidTr="00821105">
        <w:tc>
          <w:tcPr>
            <w:tcW w:w="1560" w:type="dxa"/>
            <w:vAlign w:val="center"/>
            <w:hideMark/>
          </w:tcPr>
          <w:p w:rsidR="006A3CFB" w:rsidRPr="002C3B5F" w:rsidRDefault="006A3CFB" w:rsidP="00821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90" w:type="dxa"/>
            <w:hideMark/>
          </w:tcPr>
          <w:p w:rsidR="006A3CFB" w:rsidRPr="002C3B5F" w:rsidRDefault="006A3CFB" w:rsidP="00821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1790" w:type="dxa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1106,92</w:t>
            </w:r>
          </w:p>
        </w:tc>
        <w:tc>
          <w:tcPr>
            <w:tcW w:w="1405" w:type="dxa"/>
            <w:hideMark/>
          </w:tcPr>
          <w:p w:rsidR="002C3B5F" w:rsidRDefault="002C3B5F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3CFB" w:rsidRPr="002C3B5F" w:rsidRDefault="006A3CFB" w:rsidP="002C3B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3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6A3CFB" w:rsidRPr="002C3B5F" w:rsidRDefault="006A3CFB" w:rsidP="006A3CF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3" w:name="n218"/>
      <w:bookmarkEnd w:id="3"/>
      <w:r w:rsidRPr="002C3B5F">
        <w:rPr>
          <w:rFonts w:ascii="Times New Roman" w:hAnsi="Times New Roman" w:cs="Times New Roman"/>
          <w:i/>
          <w:sz w:val="24"/>
          <w:szCs w:val="24"/>
          <w:lang w:val="uk-UA"/>
        </w:rPr>
        <w:t>* – Витрати за 5 років не розраховуються, оскільки регуляторний акт діє протягом 1 року.</w:t>
      </w:r>
    </w:p>
    <w:p w:rsidR="006A3CFB" w:rsidRPr="002C3B5F" w:rsidRDefault="006A3CFB" w:rsidP="006A3CFB">
      <w:pPr>
        <w:pStyle w:val="ab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CFB" w:rsidRPr="002C3B5F" w:rsidRDefault="006A3CFB" w:rsidP="006A3CFB">
      <w:pPr>
        <w:pStyle w:val="ab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B5F">
        <w:rPr>
          <w:rFonts w:ascii="Times New Roman" w:hAnsi="Times New Roman" w:cs="Times New Roman"/>
          <w:b/>
          <w:sz w:val="28"/>
          <w:szCs w:val="28"/>
        </w:rPr>
        <w:t xml:space="preserve">5. Розроблення </w:t>
      </w:r>
      <w:proofErr w:type="spellStart"/>
      <w:r w:rsidRPr="002C3B5F">
        <w:rPr>
          <w:rFonts w:ascii="Times New Roman" w:hAnsi="Times New Roman" w:cs="Times New Roman"/>
          <w:b/>
          <w:sz w:val="28"/>
          <w:szCs w:val="28"/>
        </w:rPr>
        <w:t>корегуючих</w:t>
      </w:r>
      <w:proofErr w:type="spellEnd"/>
      <w:r w:rsidRPr="002C3B5F">
        <w:rPr>
          <w:rFonts w:ascii="Times New Roman" w:hAnsi="Times New Roman" w:cs="Times New Roman"/>
          <w:b/>
          <w:sz w:val="28"/>
          <w:szCs w:val="28"/>
        </w:rPr>
        <w:t xml:space="preserve"> (пом’якшувальних) заходів для малого підприємництва щодо запропонованого регулювання</w:t>
      </w:r>
    </w:p>
    <w:p w:rsidR="006A3CFB" w:rsidRPr="002C3B5F" w:rsidRDefault="006A3CFB" w:rsidP="006A3CFB">
      <w:pPr>
        <w:pStyle w:val="ab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CFB" w:rsidRPr="002C3B5F" w:rsidRDefault="006A3CFB" w:rsidP="006A3CFB">
      <w:pPr>
        <w:pStyle w:val="ab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C3B5F">
        <w:rPr>
          <w:rFonts w:ascii="Times New Roman" w:hAnsi="Times New Roman" w:cs="Times New Roman"/>
          <w:sz w:val="28"/>
          <w:szCs w:val="28"/>
        </w:rPr>
        <w:t>Пом’якшувальними заходами для суб’єктів малого підприємництва може бути встановлення зменшених ставок або спрощення адміністративних процедур з виконання регулювання.</w:t>
      </w:r>
    </w:p>
    <w:p w:rsidR="006A3CFB" w:rsidRPr="002C3B5F" w:rsidRDefault="006A3CFB" w:rsidP="006A3CFB">
      <w:pPr>
        <w:pStyle w:val="ab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C3B5F">
        <w:rPr>
          <w:rFonts w:ascii="Times New Roman" w:hAnsi="Times New Roman" w:cs="Times New Roman"/>
          <w:sz w:val="28"/>
          <w:szCs w:val="28"/>
        </w:rPr>
        <w:t xml:space="preserve">Щодо зменшення ставок податку. </w:t>
      </w:r>
    </w:p>
    <w:p w:rsidR="006A3CFB" w:rsidRPr="002C3B5F" w:rsidRDefault="006A3CFB" w:rsidP="006A3CFB">
      <w:pPr>
        <w:pStyle w:val="ab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C3B5F">
        <w:rPr>
          <w:rFonts w:ascii="Times New Roman" w:hAnsi="Times New Roman" w:cs="Times New Roman"/>
          <w:sz w:val="28"/>
          <w:szCs w:val="28"/>
        </w:rPr>
        <w:t>Відповідно до податкового законодавства до повноважень органів місцевого самоврядування належить встановлення ставок по місцевих податках і зборах у межах, встановлених Податковим кодексом України. Гранична межа розміру ставки, передбачена даним Кодексом, складає:</w:t>
      </w:r>
    </w:p>
    <w:p w:rsidR="006A3CFB" w:rsidRPr="002C3B5F" w:rsidRDefault="006A3CFB" w:rsidP="006A3CFB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r w:rsidRPr="002C3B5F">
        <w:rPr>
          <w:sz w:val="28"/>
          <w:szCs w:val="28"/>
          <w:lang w:val="uk-UA"/>
        </w:rPr>
        <w:t xml:space="preserve">- </w:t>
      </w:r>
      <w:r w:rsidRPr="002C3B5F">
        <w:rPr>
          <w:b/>
          <w:sz w:val="28"/>
          <w:szCs w:val="28"/>
          <w:lang w:val="uk-UA"/>
        </w:rPr>
        <w:t>туристичний збір – 1%</w:t>
      </w:r>
      <w:r w:rsidRPr="002C3B5F">
        <w:rPr>
          <w:sz w:val="28"/>
          <w:szCs w:val="28"/>
          <w:lang w:val="uk-UA"/>
        </w:rPr>
        <w:t xml:space="preserve"> від вартості усього періоду проживання.</w:t>
      </w:r>
    </w:p>
    <w:p w:rsidR="006A3CFB" w:rsidRPr="002C3B5F" w:rsidRDefault="006A3CFB" w:rsidP="006A3CFB">
      <w:pPr>
        <w:pStyle w:val="ab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C3B5F">
        <w:rPr>
          <w:rFonts w:ascii="Times New Roman" w:hAnsi="Times New Roman" w:cs="Times New Roman"/>
          <w:sz w:val="28"/>
          <w:szCs w:val="28"/>
        </w:rPr>
        <w:t xml:space="preserve"> З метою пом’якшення дії державного регулювання, недопущення значного податкового навантаження на суб’єктів господарювання запропоновано наступні ставки податків: </w:t>
      </w:r>
    </w:p>
    <w:p w:rsidR="006A3CFB" w:rsidRPr="002C3B5F" w:rsidRDefault="006A3CFB" w:rsidP="006A3CFB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r w:rsidRPr="002C3B5F">
        <w:rPr>
          <w:sz w:val="28"/>
          <w:szCs w:val="28"/>
          <w:lang w:val="uk-UA"/>
        </w:rPr>
        <w:t xml:space="preserve">- </w:t>
      </w:r>
      <w:r w:rsidRPr="002C3B5F">
        <w:rPr>
          <w:b/>
          <w:sz w:val="28"/>
          <w:szCs w:val="28"/>
          <w:lang w:val="uk-UA"/>
        </w:rPr>
        <w:t xml:space="preserve">туристичний збір – </w:t>
      </w:r>
      <w:r w:rsidR="00972D33">
        <w:rPr>
          <w:b/>
          <w:sz w:val="28"/>
          <w:szCs w:val="28"/>
          <w:lang w:val="uk-UA"/>
        </w:rPr>
        <w:t>2,0</w:t>
      </w:r>
      <w:r w:rsidRPr="002C3B5F">
        <w:rPr>
          <w:b/>
          <w:sz w:val="28"/>
          <w:szCs w:val="28"/>
          <w:lang w:val="uk-UA"/>
        </w:rPr>
        <w:t>%</w:t>
      </w:r>
      <w:r w:rsidRPr="002C3B5F">
        <w:rPr>
          <w:sz w:val="28"/>
          <w:szCs w:val="28"/>
          <w:lang w:val="uk-UA"/>
        </w:rPr>
        <w:t xml:space="preserve"> від вартості усього періоду проживання.</w:t>
      </w:r>
    </w:p>
    <w:p w:rsidR="006A3CFB" w:rsidRPr="002C3B5F" w:rsidRDefault="006A3CFB" w:rsidP="006A3CFB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r w:rsidRPr="002C3B5F">
        <w:rPr>
          <w:sz w:val="28"/>
          <w:szCs w:val="28"/>
          <w:lang w:val="uk-UA"/>
        </w:rPr>
        <w:t xml:space="preserve">Тобто, ставки місцевих податків та зборів до яких застосовуються даним проектом рішення «Про місцеві податки і збори» процедури регулювання є набагато нижчими, ніж максимальні ставки, передбачені Податковим кодексом України. </w:t>
      </w:r>
    </w:p>
    <w:p w:rsidR="006A3CFB" w:rsidRPr="002C3B5F" w:rsidRDefault="006A3CFB" w:rsidP="006A3CF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CFB" w:rsidRPr="002C3B5F" w:rsidRDefault="006A3CFB" w:rsidP="006A3CFB">
      <w:pPr>
        <w:ind w:left="-567"/>
        <w:jc w:val="both"/>
        <w:rPr>
          <w:lang w:val="uk-UA"/>
        </w:rPr>
      </w:pPr>
    </w:p>
    <w:p w:rsidR="00E130C2" w:rsidRPr="002C3B5F" w:rsidRDefault="00E130C2" w:rsidP="00F005C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_GoBack"/>
      <w:bookmarkEnd w:id="4"/>
    </w:p>
    <w:p w:rsidR="00E130C2" w:rsidRPr="002C3B5F" w:rsidRDefault="00E130C2" w:rsidP="009C085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0856" w:rsidRPr="002C3B5F" w:rsidRDefault="009C0856" w:rsidP="009C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3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sectPr w:rsidR="009C0856" w:rsidRPr="002C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6729"/>
    <w:multiLevelType w:val="hybridMultilevel"/>
    <w:tmpl w:val="685AD68C"/>
    <w:lvl w:ilvl="0" w:tplc="2CEA8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6410E1"/>
    <w:multiLevelType w:val="hybridMultilevel"/>
    <w:tmpl w:val="91DC22DE"/>
    <w:lvl w:ilvl="0" w:tplc="6A081D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56"/>
    <w:rsid w:val="00070C97"/>
    <w:rsid w:val="00136D6C"/>
    <w:rsid w:val="00160864"/>
    <w:rsid w:val="002A0A91"/>
    <w:rsid w:val="002C3B5F"/>
    <w:rsid w:val="00350763"/>
    <w:rsid w:val="00357690"/>
    <w:rsid w:val="00374D20"/>
    <w:rsid w:val="0046024A"/>
    <w:rsid w:val="005366FD"/>
    <w:rsid w:val="005E7081"/>
    <w:rsid w:val="00645F12"/>
    <w:rsid w:val="006A3CFB"/>
    <w:rsid w:val="006E45D2"/>
    <w:rsid w:val="007A7A9F"/>
    <w:rsid w:val="00821105"/>
    <w:rsid w:val="008670CA"/>
    <w:rsid w:val="00962E60"/>
    <w:rsid w:val="00972D33"/>
    <w:rsid w:val="00996858"/>
    <w:rsid w:val="009C0856"/>
    <w:rsid w:val="00A7738C"/>
    <w:rsid w:val="00B431EF"/>
    <w:rsid w:val="00B56738"/>
    <w:rsid w:val="00B75F89"/>
    <w:rsid w:val="00B77FC9"/>
    <w:rsid w:val="00BB448A"/>
    <w:rsid w:val="00C010A0"/>
    <w:rsid w:val="00C25906"/>
    <w:rsid w:val="00C76F28"/>
    <w:rsid w:val="00C87323"/>
    <w:rsid w:val="00E130C2"/>
    <w:rsid w:val="00F005C9"/>
    <w:rsid w:val="00F57469"/>
    <w:rsid w:val="00F931CD"/>
    <w:rsid w:val="00FB5F2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385A-48F4-4D08-ADA4-3031D9A0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856"/>
    <w:rPr>
      <w:b/>
      <w:bCs/>
    </w:rPr>
  </w:style>
  <w:style w:type="paragraph" w:styleId="a4">
    <w:name w:val="Normal (Web)"/>
    <w:basedOn w:val="a"/>
    <w:link w:val="a5"/>
    <w:unhideWhenUsed/>
    <w:rsid w:val="009C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0864"/>
    <w:pPr>
      <w:ind w:left="720"/>
      <w:contextualSpacing/>
    </w:pPr>
  </w:style>
  <w:style w:type="character" w:customStyle="1" w:styleId="2">
    <w:name w:val="Стиль2"/>
    <w:basedOn w:val="a7"/>
    <w:rsid w:val="00C87323"/>
  </w:style>
  <w:style w:type="character" w:styleId="a7">
    <w:name w:val="line number"/>
    <w:basedOn w:val="a0"/>
    <w:uiPriority w:val="99"/>
    <w:semiHidden/>
    <w:unhideWhenUsed/>
    <w:rsid w:val="00C87323"/>
  </w:style>
  <w:style w:type="table" w:styleId="a8">
    <w:name w:val="Table Grid"/>
    <w:basedOn w:val="a1"/>
    <w:uiPriority w:val="39"/>
    <w:rsid w:val="0035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77F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77F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6A3CFB"/>
  </w:style>
  <w:style w:type="paragraph" w:customStyle="1" w:styleId="Default">
    <w:name w:val="Default"/>
    <w:uiPriority w:val="99"/>
    <w:rsid w:val="006A3C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6A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ий текст"/>
    <w:basedOn w:val="a"/>
    <w:link w:val="ac"/>
    <w:rsid w:val="006A3CFB"/>
    <w:pPr>
      <w:spacing w:before="120" w:after="0" w:line="240" w:lineRule="auto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ac">
    <w:name w:val="Нормальний текст Знак"/>
    <w:link w:val="ab"/>
    <w:locked/>
    <w:rsid w:val="006A3CFB"/>
    <w:rPr>
      <w:rFonts w:ascii="Antiqua" w:eastAsia="Calibri" w:hAnsi="Antiqua" w:cs="Antiqua"/>
      <w:sz w:val="26"/>
      <w:szCs w:val="26"/>
      <w:lang w:val="uk-UA" w:eastAsia="ru-RU"/>
    </w:rPr>
  </w:style>
  <w:style w:type="paragraph" w:customStyle="1" w:styleId="ad">
    <w:name w:val="Шапка документу"/>
    <w:basedOn w:val="a"/>
    <w:rsid w:val="006A3CFB"/>
    <w:pPr>
      <w:keepNext/>
      <w:keepLines/>
      <w:spacing w:after="240" w:line="240" w:lineRule="auto"/>
      <w:ind w:left="4536"/>
      <w:jc w:val="center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6A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A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A3CFB"/>
  </w:style>
  <w:style w:type="paragraph" w:customStyle="1" w:styleId="rvps12">
    <w:name w:val="rvps12"/>
    <w:basedOn w:val="a"/>
    <w:rsid w:val="006A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A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6A3CFB"/>
    <w:pPr>
      <w:suppressAutoHyphens/>
      <w:autoSpaceDN w:val="0"/>
      <w:spacing w:after="0" w:line="276" w:lineRule="auto"/>
      <w:textAlignment w:val="baseline"/>
    </w:pPr>
    <w:rPr>
      <w:rFonts w:ascii="Arial" w:eastAsia="Times New Roman" w:hAnsi="Arial" w:cs="Arial"/>
      <w:color w:val="000000"/>
      <w:kern w:val="3"/>
      <w:lang w:val="en-US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B56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2019-04-01T11:12:00Z</cp:lastPrinted>
  <dcterms:created xsi:type="dcterms:W3CDTF">2019-03-29T08:47:00Z</dcterms:created>
  <dcterms:modified xsi:type="dcterms:W3CDTF">2019-04-05T05:49:00Z</dcterms:modified>
</cp:coreProperties>
</file>